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1q433hnucodl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Disclaimer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This draft foundational document was prepared by a certified cybersecurity/GRC professional and is provided for general information only. </w:t>
      </w:r>
      <w:r w:rsidDel="00000000" w:rsidR="00000000" w:rsidRPr="00000000">
        <w:rPr>
          <w:b w:val="1"/>
          <w:i w:val="1"/>
          <w:rtl w:val="0"/>
        </w:rPr>
        <w:t xml:space="preserve">It is not legal advice.</w:t>
      </w:r>
      <w:r w:rsidDel="00000000" w:rsidR="00000000" w:rsidRPr="00000000">
        <w:rPr>
          <w:i w:val="1"/>
          <w:rtl w:val="0"/>
        </w:rPr>
        <w:t xml:space="preserve"> Obtain independent legal review before adopting or relying on this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x6k7z9wmagc1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dbjrjduij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Vendor Information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Name &amp; Service Provided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Contact for Security &amp; Privacy Concerns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p4p44r77o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Processing &amp; Privacy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and sign Data Processing Agreement (DPA)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Clearly defines responsibilities and confidentiality.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Specifies processing purpose and data retention rules.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Sub-processors</w:t>
      </w:r>
      <w:r w:rsidDel="00000000" w:rsidR="00000000" w:rsidRPr="00000000">
        <w:rPr>
          <w:rtl w:val="0"/>
        </w:rPr>
        <w:t xml:space="preserve"> (third parties that the vendor engages):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vendor's approval process for new sub-processors.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 policy when sub-processors change.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Clarify Cross-border Data Transfer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exact locations (countries/regions) where data is stored and processed.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transparency to users (privacy policy must reflect cross-border transfers clearly).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hxirpkki0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Encryption &amp; Data Security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 of Data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Encryption at rest (AES 256 recommended).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Encryption in transit (TLS 1.2 or higher).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Data Protection (for Payment Gateways)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vendor maintains current PCI-DSS compliance.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cardholder data is never stored without proper tokenization/encryption.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zpwqcdjfm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&amp; Authentication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for Multi-Factor Authentication (MFA)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MFA is available and mandatory for account administrators.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Access Management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clearly assign role-based permissions.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 and secure onboarding/offboarding processes.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il2exbm8b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Practices &amp; Compliance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Security Certifications &amp; Compliance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NIST, OWASP, ISO 27001, or equivalent preferred.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third-party security assessments or penetration tests.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Response &amp; Notification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clear timelines for notifying your charity in case of a breach (ideally within 72 hours).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process for incident reporting and support.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salwrx2mk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Audit &amp; Transparency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Vendor Security Documentation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Vendor’s latest security audit summaries, if available.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 history of breaches/incidents (last 2-3 years).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 to Audit or Review Vendor Controls</w:t>
      </w:r>
      <w:r w:rsidDel="00000000" w:rsidR="00000000" w:rsidRPr="00000000">
        <w:rPr>
          <w:rtl w:val="0"/>
        </w:rPr>
        <w:t xml:space="preserve"> (optional but valuable):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Clarify ability to request evidence of security practices.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zch14bjtb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Termination &amp; Data Retrieval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Clarify Exit Strategy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and timelines for retrieving/deleting your data after service termination.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Guarantee of complete data deletion after the contract ends.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6hmztu7h0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Insurance &amp; Liability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Liability &amp; Insurance Coverage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vendor’s liability clauses related to data breaches or losses.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adequate insurance coverage for cyber incidents.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oiqqvpnc6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Completed Vendor Security Reviews Centrally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records accessible for future reference or regulatory inquiries.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Tips: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Prioritize critical vendors (payment processors, email providers, cloud databases).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responses are documented clearly and maintained securely.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spacing w:after="240" w:before="240" w:lineRule="auto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Vendor &amp; Cloud Provider Security Checklist</w:t>
    </w:r>
  </w:p>
  <w:p w:rsidR="00000000" w:rsidDel="00000000" w:rsidP="00000000" w:rsidRDefault="00000000" w:rsidRPr="00000000" w14:paraId="00000044">
    <w:pPr>
      <w:spacing w:after="240" w:before="240" w:lineRule="auto"/>
      <w:jc w:val="center"/>
      <w:rPr/>
    </w:pPr>
    <w:r w:rsidDel="00000000" w:rsidR="00000000" w:rsidRPr="00000000">
      <w:rPr>
        <w:b w:val="1"/>
        <w:sz w:val="32"/>
        <w:szCs w:val="32"/>
        <w:rtl w:val="0"/>
      </w:rPr>
      <w:t xml:space="preserve">Version 0.9 — May 2025 • Draft –– Not Legal Advice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