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59732" w14:textId="27B9C3FC" w:rsidR="00FA5377" w:rsidRPr="00F16197" w:rsidRDefault="00000000">
      <w:pPr>
        <w:pStyle w:val="Title"/>
        <w:rPr>
          <w:color w:val="0070C0"/>
          <w:sz w:val="44"/>
          <w:szCs w:val="44"/>
          <w:u w:val="single"/>
        </w:rPr>
      </w:pPr>
      <w:r w:rsidRPr="00F16197">
        <w:rPr>
          <w:color w:val="0070C0"/>
          <w:spacing w:val="-2"/>
          <w:sz w:val="44"/>
          <w:szCs w:val="44"/>
          <w:u w:val="single"/>
        </w:rPr>
        <w:t>Report</w:t>
      </w:r>
    </w:p>
    <w:p w14:paraId="53C643E6" w14:textId="77777777" w:rsidR="00FA5377" w:rsidRPr="009018FC" w:rsidRDefault="00FA5377">
      <w:pPr>
        <w:pStyle w:val="BodyText"/>
        <w:spacing w:before="201"/>
        <w:rPr>
          <w:rFonts w:ascii="Cambria"/>
          <w:b/>
          <w:sz w:val="32"/>
          <w:szCs w:val="32"/>
        </w:rPr>
      </w:pPr>
    </w:p>
    <w:tbl>
      <w:tblPr>
        <w:tblW w:w="0" w:type="auto"/>
        <w:tblInd w:w="1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04"/>
        <w:gridCol w:w="4730"/>
      </w:tblGrid>
      <w:tr w:rsidR="00FA5377" w:rsidRPr="009018FC" w14:paraId="4593DD5D" w14:textId="77777777" w:rsidTr="009018FC">
        <w:trPr>
          <w:trHeight w:val="851"/>
        </w:trPr>
        <w:tc>
          <w:tcPr>
            <w:tcW w:w="4404" w:type="dxa"/>
          </w:tcPr>
          <w:p w14:paraId="7827B1E8" w14:textId="77777777" w:rsidR="00FA5377" w:rsidRPr="009018FC" w:rsidRDefault="00000000">
            <w:pPr>
              <w:pStyle w:val="TableParagraph"/>
              <w:spacing w:before="4" w:line="213" w:lineRule="exact"/>
              <w:rPr>
                <w:sz w:val="20"/>
                <w:szCs w:val="20"/>
              </w:rPr>
            </w:pPr>
            <w:r w:rsidRPr="009018FC">
              <w:rPr>
                <w:spacing w:val="-4"/>
                <w:w w:val="105"/>
                <w:sz w:val="20"/>
                <w:szCs w:val="20"/>
              </w:rPr>
              <w:t>Date</w:t>
            </w:r>
          </w:p>
        </w:tc>
        <w:tc>
          <w:tcPr>
            <w:tcW w:w="4730" w:type="dxa"/>
          </w:tcPr>
          <w:p w14:paraId="37D46400" w14:textId="77777777" w:rsidR="009018FC" w:rsidRPr="009018FC" w:rsidRDefault="009018FC">
            <w:pPr>
              <w:pStyle w:val="TableParagraph"/>
              <w:spacing w:before="4" w:line="213" w:lineRule="exact"/>
              <w:ind w:left="102"/>
              <w:rPr>
                <w:w w:val="105"/>
                <w:sz w:val="20"/>
                <w:szCs w:val="20"/>
              </w:rPr>
            </w:pPr>
          </w:p>
          <w:p w14:paraId="25E10BF1" w14:textId="4B272572" w:rsidR="00FA5377" w:rsidRPr="009018FC" w:rsidRDefault="0078291F">
            <w:pPr>
              <w:pStyle w:val="TableParagraph"/>
              <w:spacing w:before="4" w:line="213" w:lineRule="exact"/>
              <w:ind w:left="102"/>
              <w:rPr>
                <w:sz w:val="20"/>
                <w:szCs w:val="20"/>
              </w:rPr>
            </w:pPr>
            <w:r w:rsidRPr="009018FC">
              <w:rPr>
                <w:w w:val="105"/>
                <w:sz w:val="20"/>
                <w:szCs w:val="20"/>
              </w:rPr>
              <w:t>18</w:t>
            </w:r>
            <w:r w:rsidRPr="009018FC">
              <w:rPr>
                <w:w w:val="105"/>
                <w:sz w:val="20"/>
                <w:szCs w:val="20"/>
                <w:vertAlign w:val="superscript"/>
              </w:rPr>
              <w:t>th</w:t>
            </w:r>
            <w:r w:rsidRPr="009018FC">
              <w:rPr>
                <w:w w:val="105"/>
                <w:sz w:val="20"/>
                <w:szCs w:val="20"/>
              </w:rPr>
              <w:t xml:space="preserve"> January 2026</w:t>
            </w:r>
          </w:p>
        </w:tc>
      </w:tr>
      <w:tr w:rsidR="00FA5377" w:rsidRPr="009018FC" w14:paraId="416A87D4" w14:textId="77777777" w:rsidTr="009018FC">
        <w:trPr>
          <w:trHeight w:val="851"/>
        </w:trPr>
        <w:tc>
          <w:tcPr>
            <w:tcW w:w="4404" w:type="dxa"/>
          </w:tcPr>
          <w:p w14:paraId="54A01732" w14:textId="01EA5DBC" w:rsidR="00FA5377" w:rsidRPr="009018FC" w:rsidRDefault="00000000">
            <w:pPr>
              <w:pStyle w:val="TableParagraph"/>
              <w:spacing w:before="6" w:line="211" w:lineRule="exact"/>
              <w:rPr>
                <w:sz w:val="20"/>
                <w:szCs w:val="20"/>
              </w:rPr>
            </w:pPr>
            <w:proofErr w:type="spellStart"/>
            <w:r w:rsidRPr="009018FC">
              <w:rPr>
                <w:spacing w:val="-2"/>
                <w:w w:val="105"/>
                <w:sz w:val="20"/>
                <w:szCs w:val="20"/>
              </w:rPr>
              <w:t>Skillwallet</w:t>
            </w:r>
            <w:proofErr w:type="spellEnd"/>
            <w:r w:rsidR="009018FC">
              <w:rPr>
                <w:spacing w:val="-2"/>
                <w:w w:val="105"/>
                <w:sz w:val="20"/>
                <w:szCs w:val="20"/>
              </w:rPr>
              <w:t xml:space="preserve"> ID</w:t>
            </w:r>
          </w:p>
        </w:tc>
        <w:tc>
          <w:tcPr>
            <w:tcW w:w="4730" w:type="dxa"/>
          </w:tcPr>
          <w:p w14:paraId="1CA6ADE9" w14:textId="4884A45B" w:rsidR="00FA5377" w:rsidRPr="009018FC" w:rsidRDefault="00E43C52">
            <w:pPr>
              <w:pStyle w:val="TableParagraph"/>
              <w:spacing w:before="6" w:line="211" w:lineRule="exact"/>
              <w:rPr>
                <w:sz w:val="20"/>
                <w:szCs w:val="20"/>
              </w:rPr>
            </w:pPr>
            <w:r w:rsidRPr="009018FC">
              <w:rPr>
                <w:b/>
                <w:bCs/>
                <w:sz w:val="20"/>
                <w:szCs w:val="20"/>
              </w:rPr>
              <w:t>SWUID20250219395</w:t>
            </w:r>
          </w:p>
        </w:tc>
      </w:tr>
      <w:tr w:rsidR="00FA5377" w:rsidRPr="009018FC" w14:paraId="4C58A46C" w14:textId="77777777" w:rsidTr="009018FC">
        <w:trPr>
          <w:trHeight w:val="1703"/>
        </w:trPr>
        <w:tc>
          <w:tcPr>
            <w:tcW w:w="4404" w:type="dxa"/>
          </w:tcPr>
          <w:p w14:paraId="2EE9B518" w14:textId="77777777" w:rsidR="00FA5377" w:rsidRPr="009018FC" w:rsidRDefault="00000000">
            <w:pPr>
              <w:pStyle w:val="TableParagraph"/>
              <w:spacing w:before="4"/>
              <w:rPr>
                <w:sz w:val="20"/>
                <w:szCs w:val="20"/>
              </w:rPr>
            </w:pPr>
            <w:r w:rsidRPr="009018FC">
              <w:rPr>
                <w:spacing w:val="-2"/>
                <w:w w:val="105"/>
                <w:sz w:val="20"/>
                <w:szCs w:val="20"/>
              </w:rPr>
              <w:t>Project</w:t>
            </w:r>
            <w:r w:rsidRPr="009018FC">
              <w:rPr>
                <w:spacing w:val="-3"/>
                <w:w w:val="105"/>
                <w:sz w:val="20"/>
                <w:szCs w:val="20"/>
              </w:rPr>
              <w:t xml:space="preserve"> </w:t>
            </w:r>
            <w:r w:rsidRPr="009018FC">
              <w:rPr>
                <w:spacing w:val="-4"/>
                <w:w w:val="105"/>
                <w:sz w:val="20"/>
                <w:szCs w:val="20"/>
              </w:rPr>
              <w:t>Name</w:t>
            </w:r>
          </w:p>
        </w:tc>
        <w:tc>
          <w:tcPr>
            <w:tcW w:w="4730" w:type="dxa"/>
          </w:tcPr>
          <w:p w14:paraId="56D534D5" w14:textId="77777777" w:rsidR="00FA5377" w:rsidRPr="009018FC" w:rsidRDefault="00000000">
            <w:pPr>
              <w:pStyle w:val="TableParagraph"/>
              <w:spacing w:line="240" w:lineRule="exact"/>
              <w:ind w:right="145" w:hanging="2"/>
              <w:rPr>
                <w:sz w:val="20"/>
                <w:szCs w:val="20"/>
              </w:rPr>
            </w:pPr>
            <w:r w:rsidRPr="009018FC">
              <w:rPr>
                <w:spacing w:val="-2"/>
                <w:w w:val="105"/>
                <w:sz w:val="20"/>
                <w:szCs w:val="20"/>
              </w:rPr>
              <w:t>Power</w:t>
            </w:r>
            <w:r w:rsidRPr="009018FC">
              <w:rPr>
                <w:spacing w:val="-5"/>
                <w:w w:val="105"/>
                <w:sz w:val="20"/>
                <w:szCs w:val="20"/>
              </w:rPr>
              <w:t xml:space="preserve"> </w:t>
            </w:r>
            <w:r w:rsidRPr="009018FC">
              <w:rPr>
                <w:spacing w:val="-2"/>
                <w:w w:val="105"/>
                <w:sz w:val="20"/>
                <w:szCs w:val="20"/>
              </w:rPr>
              <w:t>BI</w:t>
            </w:r>
            <w:r w:rsidRPr="009018FC">
              <w:rPr>
                <w:spacing w:val="-8"/>
                <w:w w:val="105"/>
                <w:sz w:val="20"/>
                <w:szCs w:val="20"/>
              </w:rPr>
              <w:t xml:space="preserve"> </w:t>
            </w:r>
            <w:r w:rsidRPr="009018FC">
              <w:rPr>
                <w:spacing w:val="-2"/>
                <w:w w:val="105"/>
                <w:sz w:val="20"/>
                <w:szCs w:val="20"/>
              </w:rPr>
              <w:t>Inflation</w:t>
            </w:r>
            <w:r w:rsidRPr="009018FC">
              <w:rPr>
                <w:spacing w:val="-8"/>
                <w:w w:val="105"/>
                <w:sz w:val="20"/>
                <w:szCs w:val="20"/>
              </w:rPr>
              <w:t xml:space="preserve"> </w:t>
            </w:r>
            <w:r w:rsidRPr="009018FC">
              <w:rPr>
                <w:spacing w:val="-2"/>
                <w:w w:val="105"/>
                <w:sz w:val="20"/>
                <w:szCs w:val="20"/>
              </w:rPr>
              <w:t>Analysis:</w:t>
            </w:r>
            <w:r w:rsidRPr="009018FC">
              <w:rPr>
                <w:spacing w:val="-6"/>
                <w:w w:val="105"/>
                <w:sz w:val="20"/>
                <w:szCs w:val="20"/>
              </w:rPr>
              <w:t xml:space="preserve"> </w:t>
            </w:r>
            <w:r w:rsidRPr="009018FC">
              <w:rPr>
                <w:spacing w:val="-2"/>
                <w:w w:val="105"/>
                <w:sz w:val="20"/>
                <w:szCs w:val="20"/>
              </w:rPr>
              <w:t xml:space="preserve">Journeying </w:t>
            </w:r>
            <w:r w:rsidRPr="009018FC">
              <w:rPr>
                <w:w w:val="105"/>
                <w:sz w:val="20"/>
                <w:szCs w:val="20"/>
              </w:rPr>
              <w:t>Through Global Economic Terrain</w:t>
            </w:r>
          </w:p>
        </w:tc>
      </w:tr>
      <w:tr w:rsidR="00FA5377" w:rsidRPr="009018FC" w14:paraId="5E303CCA" w14:textId="77777777" w:rsidTr="009018FC">
        <w:trPr>
          <w:trHeight w:val="833"/>
        </w:trPr>
        <w:tc>
          <w:tcPr>
            <w:tcW w:w="4404" w:type="dxa"/>
          </w:tcPr>
          <w:p w14:paraId="7FA8A34A" w14:textId="77777777" w:rsidR="00FA5377" w:rsidRPr="009018FC" w:rsidRDefault="00000000">
            <w:pPr>
              <w:pStyle w:val="TableParagraph"/>
              <w:spacing w:line="212" w:lineRule="exact"/>
              <w:rPr>
                <w:sz w:val="20"/>
                <w:szCs w:val="20"/>
              </w:rPr>
            </w:pPr>
            <w:r w:rsidRPr="009018FC">
              <w:rPr>
                <w:sz w:val="20"/>
                <w:szCs w:val="20"/>
              </w:rPr>
              <w:t>Maximum</w:t>
            </w:r>
            <w:r w:rsidRPr="009018FC">
              <w:rPr>
                <w:spacing w:val="23"/>
                <w:sz w:val="20"/>
                <w:szCs w:val="20"/>
              </w:rPr>
              <w:t xml:space="preserve"> </w:t>
            </w:r>
            <w:r w:rsidRPr="009018FC">
              <w:rPr>
                <w:spacing w:val="-4"/>
                <w:sz w:val="20"/>
                <w:szCs w:val="20"/>
              </w:rPr>
              <w:t>Marks</w:t>
            </w:r>
          </w:p>
        </w:tc>
        <w:tc>
          <w:tcPr>
            <w:tcW w:w="4730" w:type="dxa"/>
          </w:tcPr>
          <w:p w14:paraId="038D48D8" w14:textId="77777777" w:rsidR="00FA5377" w:rsidRPr="009018FC" w:rsidRDefault="00000000">
            <w:pPr>
              <w:pStyle w:val="TableParagraph"/>
              <w:spacing w:line="212" w:lineRule="exact"/>
              <w:ind w:left="102"/>
              <w:rPr>
                <w:sz w:val="20"/>
                <w:szCs w:val="20"/>
              </w:rPr>
            </w:pPr>
            <w:r w:rsidRPr="009018FC">
              <w:rPr>
                <w:w w:val="105"/>
                <w:sz w:val="20"/>
                <w:szCs w:val="20"/>
              </w:rPr>
              <w:t>5</w:t>
            </w:r>
            <w:r w:rsidRPr="009018FC">
              <w:rPr>
                <w:spacing w:val="-7"/>
                <w:w w:val="105"/>
                <w:sz w:val="20"/>
                <w:szCs w:val="20"/>
              </w:rPr>
              <w:t xml:space="preserve"> </w:t>
            </w:r>
            <w:r w:rsidRPr="009018FC">
              <w:rPr>
                <w:spacing w:val="-2"/>
                <w:w w:val="105"/>
                <w:sz w:val="20"/>
                <w:szCs w:val="20"/>
              </w:rPr>
              <w:t>Marks</w:t>
            </w:r>
          </w:p>
        </w:tc>
      </w:tr>
    </w:tbl>
    <w:p w14:paraId="7B9905AB" w14:textId="77777777" w:rsidR="00FA5377" w:rsidRPr="009018FC" w:rsidRDefault="00FA5377">
      <w:pPr>
        <w:pStyle w:val="BodyText"/>
        <w:spacing w:before="184"/>
        <w:rPr>
          <w:rFonts w:ascii="Cambria"/>
          <w:b/>
          <w:sz w:val="20"/>
          <w:szCs w:val="20"/>
        </w:rPr>
      </w:pPr>
    </w:p>
    <w:p w14:paraId="387B6DBA" w14:textId="77777777" w:rsidR="00FA5377" w:rsidRPr="009018FC" w:rsidRDefault="00000000">
      <w:pPr>
        <w:pStyle w:val="BodyText"/>
        <w:spacing w:line="266" w:lineRule="auto"/>
        <w:ind w:left="1173" w:right="1553"/>
        <w:rPr>
          <w:sz w:val="32"/>
          <w:szCs w:val="32"/>
        </w:rPr>
      </w:pPr>
      <w:r w:rsidRPr="009018FC">
        <w:rPr>
          <w:sz w:val="32"/>
          <w:szCs w:val="32"/>
        </w:rPr>
        <w:t>A report is a comprehensive document that provides a detailed and structured account of data analysis, findings, and insights. The primary goal of this Power BI report is to assess global price stability risk and validate the effectiveness of the inflation adjustment mechanism across four dedicated dashboard pages.</w:t>
      </w:r>
    </w:p>
    <w:p w14:paraId="5026D329" w14:textId="77777777" w:rsidR="00FA5377" w:rsidRPr="009018FC" w:rsidRDefault="00FA5377">
      <w:pPr>
        <w:pStyle w:val="BodyText"/>
        <w:rPr>
          <w:b/>
          <w:i/>
          <w:sz w:val="32"/>
          <w:szCs w:val="32"/>
        </w:rPr>
      </w:pPr>
    </w:p>
    <w:p w14:paraId="7C7FAA87" w14:textId="77777777" w:rsidR="00FA5377" w:rsidRPr="009018FC" w:rsidRDefault="00FA5377">
      <w:pPr>
        <w:pStyle w:val="BodyText"/>
        <w:rPr>
          <w:b/>
          <w:i/>
          <w:sz w:val="32"/>
          <w:szCs w:val="32"/>
        </w:rPr>
      </w:pPr>
    </w:p>
    <w:p w14:paraId="48BDE6B1" w14:textId="77777777" w:rsidR="00FA5377" w:rsidRPr="009018FC" w:rsidRDefault="00FA5377">
      <w:pPr>
        <w:pStyle w:val="BodyText"/>
        <w:spacing w:before="143"/>
        <w:rPr>
          <w:b/>
          <w:i/>
          <w:sz w:val="32"/>
          <w:szCs w:val="32"/>
        </w:rPr>
      </w:pPr>
    </w:p>
    <w:p w14:paraId="5DE79307" w14:textId="77777777" w:rsidR="00FA5377" w:rsidRPr="009018FC" w:rsidRDefault="00FA5377">
      <w:pPr>
        <w:pStyle w:val="TableParagraph"/>
        <w:rPr>
          <w:rFonts w:ascii="Calibri"/>
          <w:sz w:val="32"/>
          <w:szCs w:val="32"/>
        </w:rPr>
        <w:sectPr w:rsidR="00FA5377" w:rsidRPr="009018FC">
          <w:type w:val="continuous"/>
          <w:pgSz w:w="12240" w:h="15840"/>
          <w:pgMar w:top="1280" w:right="0" w:bottom="280" w:left="360" w:header="720" w:footer="720" w:gutter="0"/>
          <w:cols w:space="720"/>
        </w:sectPr>
      </w:pPr>
    </w:p>
    <w:p w14:paraId="1CE4E579" w14:textId="41D5AC95" w:rsidR="0078291F" w:rsidRPr="009018FC" w:rsidRDefault="0078291F" w:rsidP="009018FC">
      <w:pPr>
        <w:pStyle w:val="Heading1"/>
        <w:tabs>
          <w:tab w:val="left" w:pos="1401"/>
        </w:tabs>
        <w:ind w:firstLine="0"/>
        <w:rPr>
          <w:color w:val="0070C0"/>
          <w:sz w:val="32"/>
          <w:szCs w:val="32"/>
        </w:rPr>
      </w:pPr>
      <w:r w:rsidRPr="009018FC">
        <w:rPr>
          <w:color w:val="0070C0"/>
          <w:sz w:val="32"/>
          <w:szCs w:val="32"/>
        </w:rPr>
        <w:lastRenderedPageBreak/>
        <w:t>Executive Dashboard</w:t>
      </w:r>
    </w:p>
    <w:p w14:paraId="50D4769E" w14:textId="77777777" w:rsidR="0078291F" w:rsidRPr="009018FC" w:rsidRDefault="0078291F" w:rsidP="0078291F">
      <w:pPr>
        <w:pStyle w:val="Heading1"/>
        <w:tabs>
          <w:tab w:val="left" w:pos="1401"/>
        </w:tabs>
        <w:ind w:firstLine="0"/>
        <w:rPr>
          <w:b w:val="0"/>
          <w:bCs w:val="0"/>
          <w:sz w:val="32"/>
          <w:szCs w:val="32"/>
        </w:rPr>
      </w:pPr>
      <w:r w:rsidRPr="009018FC">
        <w:rPr>
          <w:b w:val="0"/>
          <w:bCs w:val="0"/>
          <w:sz w:val="32"/>
          <w:szCs w:val="32"/>
        </w:rPr>
        <w:t xml:space="preserve">The Executive Dashboard serves as the central command center for monitoring global economic health. </w:t>
      </w:r>
    </w:p>
    <w:p w14:paraId="3E4852DC" w14:textId="77777777" w:rsidR="0078291F" w:rsidRPr="009018FC" w:rsidRDefault="0078291F" w:rsidP="0078291F">
      <w:pPr>
        <w:pStyle w:val="Heading1"/>
        <w:tabs>
          <w:tab w:val="left" w:pos="1401"/>
        </w:tabs>
        <w:ind w:firstLine="0"/>
        <w:rPr>
          <w:b w:val="0"/>
          <w:bCs w:val="0"/>
          <w:sz w:val="32"/>
          <w:szCs w:val="32"/>
        </w:rPr>
      </w:pPr>
      <w:r w:rsidRPr="009018FC">
        <w:rPr>
          <w:b w:val="0"/>
          <w:bCs w:val="0"/>
          <w:sz w:val="32"/>
          <w:szCs w:val="32"/>
        </w:rPr>
        <w:t xml:space="preserve">It provides high-level KPIs and aggregate visualizations to give stakeholders an immediate snapshot </w:t>
      </w:r>
    </w:p>
    <w:p w14:paraId="7D2588A0" w14:textId="01D75E46" w:rsidR="0078291F" w:rsidRPr="009018FC" w:rsidRDefault="0078291F" w:rsidP="0078291F">
      <w:pPr>
        <w:pStyle w:val="Heading1"/>
        <w:tabs>
          <w:tab w:val="left" w:pos="1401"/>
        </w:tabs>
        <w:ind w:firstLine="0"/>
        <w:rPr>
          <w:b w:val="0"/>
          <w:bCs w:val="0"/>
          <w:sz w:val="32"/>
          <w:szCs w:val="32"/>
        </w:rPr>
      </w:pPr>
      <w:r w:rsidRPr="009018FC">
        <w:rPr>
          <w:b w:val="0"/>
          <w:bCs w:val="0"/>
          <w:sz w:val="32"/>
          <w:szCs w:val="32"/>
        </w:rPr>
        <w:t>of inflation volatility.</w:t>
      </w:r>
    </w:p>
    <w:p w14:paraId="31C92688" w14:textId="344D7357" w:rsidR="0078291F" w:rsidRPr="0078291F" w:rsidRDefault="009018FC" w:rsidP="0078291F">
      <w:pPr>
        <w:pStyle w:val="Heading1"/>
        <w:tabs>
          <w:tab w:val="left" w:pos="1401"/>
        </w:tabs>
        <w:rPr>
          <w:color w:val="0070C0"/>
          <w:sz w:val="32"/>
          <w:szCs w:val="32"/>
          <w:lang w:val="en-IN"/>
        </w:rPr>
      </w:pPr>
      <w:r w:rsidRPr="009018FC">
        <w:rPr>
          <w:color w:val="0070C0"/>
          <w:sz w:val="32"/>
          <w:szCs w:val="32"/>
          <w:lang w:val="en-IN"/>
        </w:rPr>
        <w:t>1.</w:t>
      </w:r>
      <w:r w:rsidR="0078291F" w:rsidRPr="0078291F">
        <w:rPr>
          <w:color w:val="0070C0"/>
          <w:sz w:val="32"/>
          <w:szCs w:val="32"/>
          <w:lang w:val="en-IN"/>
        </w:rPr>
        <w:t>Key Performance Indicators (KPIs):</w:t>
      </w:r>
    </w:p>
    <w:p w14:paraId="0CD7FCD0" w14:textId="77777777" w:rsidR="0078291F" w:rsidRPr="0078291F" w:rsidRDefault="0078291F" w:rsidP="00B635F9">
      <w:pPr>
        <w:pStyle w:val="Heading1"/>
        <w:numPr>
          <w:ilvl w:val="0"/>
          <w:numId w:val="2"/>
        </w:numPr>
        <w:tabs>
          <w:tab w:val="left" w:pos="1401"/>
        </w:tabs>
        <w:rPr>
          <w:b w:val="0"/>
          <w:bCs w:val="0"/>
          <w:sz w:val="32"/>
          <w:szCs w:val="32"/>
          <w:lang w:val="en-IN"/>
        </w:rPr>
      </w:pPr>
      <w:r w:rsidRPr="0078291F">
        <w:rPr>
          <w:b w:val="0"/>
          <w:bCs w:val="0"/>
          <w:sz w:val="32"/>
          <w:szCs w:val="32"/>
          <w:lang w:val="en-IN"/>
        </w:rPr>
        <w:t>Total Inflation Rate: 65.37K (Cumulative metric for the selected period).</w:t>
      </w:r>
    </w:p>
    <w:p w14:paraId="550A5D07" w14:textId="77777777" w:rsidR="0078291F" w:rsidRPr="0078291F" w:rsidRDefault="0078291F" w:rsidP="00B635F9">
      <w:pPr>
        <w:pStyle w:val="Heading1"/>
        <w:numPr>
          <w:ilvl w:val="0"/>
          <w:numId w:val="2"/>
        </w:numPr>
        <w:tabs>
          <w:tab w:val="left" w:pos="1401"/>
        </w:tabs>
        <w:rPr>
          <w:b w:val="0"/>
          <w:bCs w:val="0"/>
          <w:sz w:val="32"/>
          <w:szCs w:val="32"/>
          <w:lang w:val="en-IN"/>
        </w:rPr>
      </w:pPr>
      <w:r w:rsidRPr="0078291F">
        <w:rPr>
          <w:b w:val="0"/>
          <w:bCs w:val="0"/>
          <w:sz w:val="32"/>
          <w:szCs w:val="32"/>
          <w:lang w:val="en-IN"/>
        </w:rPr>
        <w:t>Average Inflation Rate: 42.07% (The baseline metric for global price changes).</w:t>
      </w:r>
    </w:p>
    <w:p w14:paraId="099FA87E" w14:textId="77777777" w:rsidR="0078291F" w:rsidRPr="0078291F" w:rsidRDefault="0078291F" w:rsidP="00B635F9">
      <w:pPr>
        <w:pStyle w:val="Heading1"/>
        <w:numPr>
          <w:ilvl w:val="0"/>
          <w:numId w:val="2"/>
        </w:numPr>
        <w:tabs>
          <w:tab w:val="left" w:pos="1401"/>
        </w:tabs>
        <w:rPr>
          <w:b w:val="0"/>
          <w:bCs w:val="0"/>
          <w:sz w:val="32"/>
          <w:szCs w:val="32"/>
          <w:lang w:val="en-IN"/>
        </w:rPr>
      </w:pPr>
      <w:r w:rsidRPr="0078291F">
        <w:rPr>
          <w:b w:val="0"/>
          <w:bCs w:val="0"/>
          <w:sz w:val="32"/>
          <w:szCs w:val="32"/>
          <w:lang w:val="en-IN"/>
        </w:rPr>
        <w:t>Max &amp; Min Inflation Rates: Identifies the extreme bounds of the dataset to highlight volatility.</w:t>
      </w:r>
    </w:p>
    <w:p w14:paraId="4D0FA02C" w14:textId="77777777" w:rsidR="0078291F" w:rsidRPr="0078291F" w:rsidRDefault="0078291F" w:rsidP="00B635F9">
      <w:pPr>
        <w:pStyle w:val="Heading1"/>
        <w:numPr>
          <w:ilvl w:val="0"/>
          <w:numId w:val="2"/>
        </w:numPr>
        <w:tabs>
          <w:tab w:val="left" w:pos="1401"/>
        </w:tabs>
        <w:rPr>
          <w:b w:val="0"/>
          <w:bCs w:val="0"/>
          <w:sz w:val="32"/>
          <w:szCs w:val="32"/>
          <w:lang w:val="en-IN"/>
        </w:rPr>
      </w:pPr>
      <w:r w:rsidRPr="0078291F">
        <w:rPr>
          <w:b w:val="0"/>
          <w:bCs w:val="0"/>
          <w:sz w:val="32"/>
          <w:szCs w:val="32"/>
          <w:lang w:val="en-IN"/>
        </w:rPr>
        <w:t>YoY Change: Tracks the momentum of inflation year-over-year.</w:t>
      </w:r>
    </w:p>
    <w:p w14:paraId="4107D1F0" w14:textId="77777777" w:rsidR="0078291F" w:rsidRPr="009018FC" w:rsidRDefault="0078291F" w:rsidP="0078291F">
      <w:pPr>
        <w:pStyle w:val="Heading1"/>
        <w:tabs>
          <w:tab w:val="left" w:pos="1401"/>
        </w:tabs>
        <w:ind w:firstLine="0"/>
        <w:jc w:val="center"/>
        <w:rPr>
          <w:b w:val="0"/>
          <w:bCs w:val="0"/>
          <w:sz w:val="32"/>
          <w:szCs w:val="32"/>
        </w:rPr>
      </w:pPr>
    </w:p>
    <w:p w14:paraId="2DF238E9" w14:textId="34DA911C" w:rsidR="00FA5377" w:rsidRPr="009018FC" w:rsidRDefault="009018FC" w:rsidP="009018FC">
      <w:pPr>
        <w:pStyle w:val="Heading1"/>
        <w:tabs>
          <w:tab w:val="left" w:pos="1401"/>
        </w:tabs>
        <w:rPr>
          <w:sz w:val="32"/>
          <w:szCs w:val="32"/>
        </w:rPr>
      </w:pPr>
      <w:r w:rsidRPr="009018FC">
        <w:rPr>
          <w:color w:val="0070C0"/>
          <w:sz w:val="32"/>
          <w:szCs w:val="32"/>
        </w:rPr>
        <w:t>2.</w:t>
      </w:r>
      <w:r w:rsidR="00000000" w:rsidRPr="009018FC">
        <w:rPr>
          <w:color w:val="0070C0"/>
          <w:sz w:val="32"/>
          <w:szCs w:val="32"/>
        </w:rPr>
        <w:t>Performance</w:t>
      </w:r>
      <w:r w:rsidR="00000000" w:rsidRPr="009018FC">
        <w:rPr>
          <w:color w:val="0070C0"/>
          <w:spacing w:val="11"/>
          <w:sz w:val="32"/>
          <w:szCs w:val="32"/>
        </w:rPr>
        <w:t xml:space="preserve"> </w:t>
      </w:r>
      <w:r w:rsidR="00000000" w:rsidRPr="009018FC">
        <w:rPr>
          <w:color w:val="0070C0"/>
          <w:sz w:val="32"/>
          <w:szCs w:val="32"/>
        </w:rPr>
        <w:t>Comparisons</w:t>
      </w:r>
      <w:r w:rsidR="00000000" w:rsidRPr="009018FC">
        <w:rPr>
          <w:color w:val="0070C0"/>
          <w:spacing w:val="16"/>
          <w:sz w:val="32"/>
          <w:szCs w:val="32"/>
        </w:rPr>
        <w:t xml:space="preserve"> </w:t>
      </w:r>
      <w:r w:rsidR="00000000" w:rsidRPr="009018FC">
        <w:rPr>
          <w:color w:val="0070C0"/>
          <w:sz w:val="32"/>
          <w:szCs w:val="32"/>
        </w:rPr>
        <w:t>(Dashboard</w:t>
      </w:r>
      <w:r w:rsidR="00000000" w:rsidRPr="009018FC">
        <w:rPr>
          <w:color w:val="0070C0"/>
          <w:spacing w:val="13"/>
          <w:sz w:val="32"/>
          <w:szCs w:val="32"/>
        </w:rPr>
        <w:t xml:space="preserve"> </w:t>
      </w:r>
      <w:r w:rsidR="00000000" w:rsidRPr="009018FC">
        <w:rPr>
          <w:color w:val="0070C0"/>
          <w:sz w:val="32"/>
          <w:szCs w:val="32"/>
        </w:rPr>
        <w:t>2</w:t>
      </w:r>
      <w:r w:rsidR="00000000" w:rsidRPr="009018FC">
        <w:rPr>
          <w:color w:val="0070C0"/>
          <w:spacing w:val="18"/>
          <w:sz w:val="32"/>
          <w:szCs w:val="32"/>
        </w:rPr>
        <w:t xml:space="preserve"> </w:t>
      </w:r>
      <w:r w:rsidR="00000000" w:rsidRPr="009018FC">
        <w:rPr>
          <w:color w:val="0070C0"/>
          <w:sz w:val="32"/>
          <w:szCs w:val="32"/>
        </w:rPr>
        <w:t>&amp;</w:t>
      </w:r>
      <w:r w:rsidR="00000000" w:rsidRPr="009018FC">
        <w:rPr>
          <w:color w:val="0070C0"/>
          <w:spacing w:val="14"/>
          <w:sz w:val="32"/>
          <w:szCs w:val="32"/>
        </w:rPr>
        <w:t xml:space="preserve"> </w:t>
      </w:r>
      <w:r w:rsidR="00000000" w:rsidRPr="009018FC">
        <w:rPr>
          <w:color w:val="0070C0"/>
          <w:sz w:val="32"/>
          <w:szCs w:val="32"/>
        </w:rPr>
        <w:t>4:</w:t>
      </w:r>
      <w:r w:rsidR="00000000" w:rsidRPr="009018FC">
        <w:rPr>
          <w:color w:val="0070C0"/>
          <w:spacing w:val="13"/>
          <w:sz w:val="32"/>
          <w:szCs w:val="32"/>
        </w:rPr>
        <w:t xml:space="preserve"> </w:t>
      </w:r>
      <w:r w:rsidR="00000000" w:rsidRPr="009018FC">
        <w:rPr>
          <w:color w:val="0070C0"/>
          <w:sz w:val="32"/>
          <w:szCs w:val="32"/>
        </w:rPr>
        <w:t>Operational</w:t>
      </w:r>
      <w:r w:rsidR="00000000" w:rsidRPr="009018FC">
        <w:rPr>
          <w:color w:val="0070C0"/>
          <w:spacing w:val="17"/>
          <w:sz w:val="32"/>
          <w:szCs w:val="32"/>
        </w:rPr>
        <w:t xml:space="preserve"> </w:t>
      </w:r>
      <w:r w:rsidR="00000000" w:rsidRPr="009018FC">
        <w:rPr>
          <w:color w:val="0070C0"/>
          <w:spacing w:val="-2"/>
          <w:sz w:val="32"/>
          <w:szCs w:val="32"/>
        </w:rPr>
        <w:t>Focus)</w:t>
      </w:r>
    </w:p>
    <w:p w14:paraId="407DFB71" w14:textId="77777777" w:rsidR="00FA5377" w:rsidRPr="009018FC" w:rsidRDefault="00000000">
      <w:pPr>
        <w:pStyle w:val="BodyText"/>
        <w:spacing w:before="181" w:line="266" w:lineRule="auto"/>
        <w:ind w:left="1173" w:right="1553"/>
        <w:rPr>
          <w:sz w:val="32"/>
          <w:szCs w:val="32"/>
        </w:rPr>
      </w:pPr>
      <w:r w:rsidRPr="009018FC">
        <w:rPr>
          <w:sz w:val="32"/>
          <w:szCs w:val="32"/>
        </w:rPr>
        <w:t>Compare performance across different categories, such as regions or products, to determine which areas are excelling or underperforming.</w:t>
      </w:r>
    </w:p>
    <w:p w14:paraId="3C23EBC1" w14:textId="77777777" w:rsidR="00FA5377" w:rsidRPr="009018FC" w:rsidRDefault="00000000">
      <w:pPr>
        <w:pStyle w:val="ListParagraph"/>
        <w:numPr>
          <w:ilvl w:val="1"/>
          <w:numId w:val="1"/>
        </w:numPr>
        <w:tabs>
          <w:tab w:val="left" w:pos="1850"/>
        </w:tabs>
        <w:spacing w:before="147"/>
        <w:ind w:hanging="338"/>
        <w:rPr>
          <w:rFonts w:ascii="Symbol" w:hAnsi="Symbol"/>
          <w:sz w:val="32"/>
          <w:szCs w:val="32"/>
        </w:rPr>
      </w:pPr>
      <w:r w:rsidRPr="009018FC">
        <w:rPr>
          <w:b/>
          <w:color w:val="548DD4" w:themeColor="text2" w:themeTint="99"/>
          <w:sz w:val="32"/>
          <w:szCs w:val="32"/>
        </w:rPr>
        <w:t>Top</w:t>
      </w:r>
      <w:r w:rsidRPr="009018FC">
        <w:rPr>
          <w:b/>
          <w:color w:val="548DD4" w:themeColor="text2" w:themeTint="99"/>
          <w:spacing w:val="13"/>
          <w:sz w:val="32"/>
          <w:szCs w:val="32"/>
        </w:rPr>
        <w:t xml:space="preserve"> </w:t>
      </w:r>
      <w:r w:rsidRPr="009018FC">
        <w:rPr>
          <w:b/>
          <w:color w:val="548DD4" w:themeColor="text2" w:themeTint="99"/>
          <w:sz w:val="32"/>
          <w:szCs w:val="32"/>
        </w:rPr>
        <w:t>Risk</w:t>
      </w:r>
      <w:r w:rsidRPr="009018FC">
        <w:rPr>
          <w:b/>
          <w:color w:val="548DD4" w:themeColor="text2" w:themeTint="99"/>
          <w:spacing w:val="17"/>
          <w:sz w:val="32"/>
          <w:szCs w:val="32"/>
        </w:rPr>
        <w:t xml:space="preserve"> </w:t>
      </w:r>
      <w:r w:rsidRPr="009018FC">
        <w:rPr>
          <w:b/>
          <w:color w:val="548DD4" w:themeColor="text2" w:themeTint="99"/>
          <w:sz w:val="32"/>
          <w:szCs w:val="32"/>
        </w:rPr>
        <w:t>Contributors:</w:t>
      </w:r>
      <w:r w:rsidRPr="009018FC">
        <w:rPr>
          <w:b/>
          <w:spacing w:val="15"/>
          <w:sz w:val="32"/>
          <w:szCs w:val="32"/>
        </w:rPr>
        <w:t xml:space="preserve"> </w:t>
      </w:r>
      <w:r w:rsidRPr="009018FC">
        <w:rPr>
          <w:b/>
          <w:sz w:val="32"/>
          <w:szCs w:val="32"/>
        </w:rPr>
        <w:t>Armenia</w:t>
      </w:r>
      <w:r w:rsidRPr="009018FC">
        <w:rPr>
          <w:b/>
          <w:spacing w:val="10"/>
          <w:sz w:val="32"/>
          <w:szCs w:val="32"/>
        </w:rPr>
        <w:t xml:space="preserve"> </w:t>
      </w:r>
      <w:r w:rsidRPr="009018FC">
        <w:rPr>
          <w:sz w:val="32"/>
          <w:szCs w:val="32"/>
        </w:rPr>
        <w:t>had</w:t>
      </w:r>
      <w:r w:rsidRPr="009018FC">
        <w:rPr>
          <w:spacing w:val="17"/>
          <w:sz w:val="32"/>
          <w:szCs w:val="32"/>
        </w:rPr>
        <w:t xml:space="preserve"> </w:t>
      </w:r>
      <w:r w:rsidRPr="009018FC">
        <w:rPr>
          <w:sz w:val="32"/>
          <w:szCs w:val="32"/>
        </w:rPr>
        <w:t>the</w:t>
      </w:r>
      <w:r w:rsidRPr="009018FC">
        <w:rPr>
          <w:spacing w:val="11"/>
          <w:sz w:val="32"/>
          <w:szCs w:val="32"/>
        </w:rPr>
        <w:t xml:space="preserve"> </w:t>
      </w:r>
      <w:r w:rsidRPr="009018FC">
        <w:rPr>
          <w:sz w:val="32"/>
          <w:szCs w:val="32"/>
        </w:rPr>
        <w:t>highest</w:t>
      </w:r>
      <w:r w:rsidRPr="009018FC">
        <w:rPr>
          <w:spacing w:val="12"/>
          <w:sz w:val="32"/>
          <w:szCs w:val="32"/>
        </w:rPr>
        <w:t xml:space="preserve"> </w:t>
      </w:r>
      <w:proofErr w:type="spellStart"/>
      <w:r w:rsidRPr="009018FC">
        <w:rPr>
          <w:b/>
          <w:sz w:val="32"/>
          <w:szCs w:val="32"/>
        </w:rPr>
        <w:t>InflationRate</w:t>
      </w:r>
      <w:proofErr w:type="spellEnd"/>
      <w:r w:rsidRPr="009018FC">
        <w:rPr>
          <w:b/>
          <w:spacing w:val="14"/>
          <w:sz w:val="32"/>
          <w:szCs w:val="32"/>
        </w:rPr>
        <w:t xml:space="preserve"> </w:t>
      </w:r>
      <w:r w:rsidRPr="009018FC">
        <w:rPr>
          <w:sz w:val="32"/>
          <w:szCs w:val="32"/>
        </w:rPr>
        <w:t>at</w:t>
      </w:r>
      <w:r w:rsidRPr="009018FC">
        <w:rPr>
          <w:spacing w:val="16"/>
          <w:sz w:val="32"/>
          <w:szCs w:val="32"/>
        </w:rPr>
        <w:t xml:space="preserve"> </w:t>
      </w:r>
      <w:r w:rsidRPr="009018FC">
        <w:rPr>
          <w:b/>
          <w:sz w:val="32"/>
          <w:szCs w:val="32"/>
        </w:rPr>
        <w:t>3,731.80</w:t>
      </w:r>
      <w:r w:rsidRPr="009018FC">
        <w:rPr>
          <w:sz w:val="32"/>
          <w:szCs w:val="32"/>
        </w:rPr>
        <w:t>,</w:t>
      </w:r>
      <w:r w:rsidRPr="009018FC">
        <w:rPr>
          <w:spacing w:val="13"/>
          <w:sz w:val="32"/>
          <w:szCs w:val="32"/>
        </w:rPr>
        <w:t xml:space="preserve"> </w:t>
      </w:r>
      <w:r w:rsidRPr="009018FC">
        <w:rPr>
          <w:sz w:val="32"/>
          <w:szCs w:val="32"/>
        </w:rPr>
        <w:t>followed</w:t>
      </w:r>
      <w:r w:rsidRPr="009018FC">
        <w:rPr>
          <w:spacing w:val="10"/>
          <w:sz w:val="32"/>
          <w:szCs w:val="32"/>
        </w:rPr>
        <w:t xml:space="preserve"> </w:t>
      </w:r>
      <w:r w:rsidRPr="009018FC">
        <w:rPr>
          <w:spacing w:val="-5"/>
          <w:sz w:val="32"/>
          <w:szCs w:val="32"/>
        </w:rPr>
        <w:t>by</w:t>
      </w:r>
    </w:p>
    <w:p w14:paraId="49180C73" w14:textId="77777777" w:rsidR="00FA5377" w:rsidRPr="009018FC" w:rsidRDefault="00000000">
      <w:pPr>
        <w:spacing w:before="29"/>
        <w:ind w:left="1850"/>
        <w:rPr>
          <w:sz w:val="32"/>
          <w:szCs w:val="32"/>
        </w:rPr>
      </w:pPr>
      <w:r w:rsidRPr="009018FC">
        <w:rPr>
          <w:b/>
          <w:sz w:val="32"/>
          <w:szCs w:val="32"/>
        </w:rPr>
        <w:t>Bulgaria</w:t>
      </w:r>
      <w:r w:rsidRPr="009018FC">
        <w:rPr>
          <w:b/>
          <w:spacing w:val="10"/>
          <w:sz w:val="32"/>
          <w:szCs w:val="32"/>
        </w:rPr>
        <w:t xml:space="preserve"> </w:t>
      </w:r>
      <w:r w:rsidRPr="009018FC">
        <w:rPr>
          <w:sz w:val="32"/>
          <w:szCs w:val="32"/>
        </w:rPr>
        <w:t>at</w:t>
      </w:r>
      <w:r w:rsidRPr="009018FC">
        <w:rPr>
          <w:spacing w:val="14"/>
          <w:sz w:val="32"/>
          <w:szCs w:val="32"/>
        </w:rPr>
        <w:t xml:space="preserve"> </w:t>
      </w:r>
      <w:r w:rsidRPr="009018FC">
        <w:rPr>
          <w:b/>
          <w:sz w:val="32"/>
          <w:szCs w:val="32"/>
        </w:rPr>
        <w:t>1,927.40</w:t>
      </w:r>
      <w:r w:rsidRPr="009018FC">
        <w:rPr>
          <w:b/>
          <w:spacing w:val="9"/>
          <w:sz w:val="32"/>
          <w:szCs w:val="32"/>
        </w:rPr>
        <w:t xml:space="preserve"> </w:t>
      </w:r>
      <w:r w:rsidRPr="009018FC">
        <w:rPr>
          <w:sz w:val="32"/>
          <w:szCs w:val="32"/>
        </w:rPr>
        <w:t>and</w:t>
      </w:r>
      <w:r w:rsidRPr="009018FC">
        <w:rPr>
          <w:spacing w:val="13"/>
          <w:sz w:val="32"/>
          <w:szCs w:val="32"/>
        </w:rPr>
        <w:t xml:space="preserve"> </w:t>
      </w:r>
      <w:r w:rsidRPr="009018FC">
        <w:rPr>
          <w:b/>
          <w:sz w:val="32"/>
          <w:szCs w:val="32"/>
        </w:rPr>
        <w:t>Somalia</w:t>
      </w:r>
      <w:r w:rsidRPr="009018FC">
        <w:rPr>
          <w:b/>
          <w:spacing w:val="11"/>
          <w:sz w:val="32"/>
          <w:szCs w:val="32"/>
        </w:rPr>
        <w:t xml:space="preserve"> </w:t>
      </w:r>
      <w:r w:rsidRPr="009018FC">
        <w:rPr>
          <w:sz w:val="32"/>
          <w:szCs w:val="32"/>
        </w:rPr>
        <w:t>at</w:t>
      </w:r>
      <w:r w:rsidRPr="009018FC">
        <w:rPr>
          <w:spacing w:val="12"/>
          <w:sz w:val="32"/>
          <w:szCs w:val="32"/>
        </w:rPr>
        <w:t xml:space="preserve"> </w:t>
      </w:r>
      <w:r w:rsidRPr="009018FC">
        <w:rPr>
          <w:b/>
          <w:spacing w:val="-2"/>
          <w:sz w:val="32"/>
          <w:szCs w:val="32"/>
        </w:rPr>
        <w:t>1,568.10</w:t>
      </w:r>
      <w:r w:rsidRPr="009018FC">
        <w:rPr>
          <w:spacing w:val="-2"/>
          <w:sz w:val="32"/>
          <w:szCs w:val="32"/>
        </w:rPr>
        <w:t>.</w:t>
      </w:r>
    </w:p>
    <w:p w14:paraId="3AA2809A" w14:textId="77777777" w:rsidR="00FA5377" w:rsidRPr="009018FC" w:rsidRDefault="00000000">
      <w:pPr>
        <w:pStyle w:val="ListParagraph"/>
        <w:numPr>
          <w:ilvl w:val="1"/>
          <w:numId w:val="1"/>
        </w:numPr>
        <w:tabs>
          <w:tab w:val="left" w:pos="1850"/>
        </w:tabs>
        <w:spacing w:before="181" w:line="264" w:lineRule="auto"/>
        <w:ind w:right="1768"/>
        <w:rPr>
          <w:rFonts w:ascii="Symbol" w:hAnsi="Symbol"/>
          <w:sz w:val="32"/>
          <w:szCs w:val="32"/>
        </w:rPr>
      </w:pPr>
      <w:r w:rsidRPr="009018FC">
        <w:rPr>
          <w:b/>
          <w:color w:val="548DD4" w:themeColor="text2" w:themeTint="99"/>
          <w:sz w:val="32"/>
          <w:szCs w:val="32"/>
        </w:rPr>
        <w:t xml:space="preserve">Concentrated Influence: </w:t>
      </w:r>
      <w:r w:rsidRPr="009018FC">
        <w:rPr>
          <w:b/>
          <w:sz w:val="32"/>
          <w:szCs w:val="32"/>
        </w:rPr>
        <w:t xml:space="preserve">Armenia accounted for 51.63% of the total </w:t>
      </w:r>
      <w:proofErr w:type="spellStart"/>
      <w:r w:rsidRPr="009018FC">
        <w:rPr>
          <w:b/>
          <w:sz w:val="32"/>
          <w:szCs w:val="32"/>
        </w:rPr>
        <w:t>InflationRate</w:t>
      </w:r>
      <w:proofErr w:type="spellEnd"/>
      <w:r w:rsidRPr="009018FC">
        <w:rPr>
          <w:b/>
          <w:sz w:val="32"/>
          <w:szCs w:val="32"/>
        </w:rPr>
        <w:t xml:space="preserve"> </w:t>
      </w:r>
      <w:r w:rsidRPr="009018FC">
        <w:rPr>
          <w:sz w:val="32"/>
          <w:szCs w:val="32"/>
        </w:rPr>
        <w:t>among the countries analyzed in the Deep Dive visual, indicating a highly concentrated single- country risk profile.</w:t>
      </w:r>
    </w:p>
    <w:p w14:paraId="072C7235" w14:textId="77777777" w:rsidR="00FA5377" w:rsidRPr="009018FC" w:rsidRDefault="00000000">
      <w:pPr>
        <w:pStyle w:val="ListParagraph"/>
        <w:numPr>
          <w:ilvl w:val="1"/>
          <w:numId w:val="1"/>
        </w:numPr>
        <w:tabs>
          <w:tab w:val="left" w:pos="1850"/>
        </w:tabs>
        <w:spacing w:before="153" w:line="266" w:lineRule="auto"/>
        <w:ind w:right="1747"/>
        <w:rPr>
          <w:rFonts w:ascii="Symbol" w:hAnsi="Symbol"/>
          <w:sz w:val="32"/>
          <w:szCs w:val="32"/>
        </w:rPr>
      </w:pPr>
      <w:r w:rsidRPr="009018FC">
        <w:rPr>
          <w:b/>
          <w:color w:val="548DD4" w:themeColor="text2" w:themeTint="99"/>
          <w:sz w:val="32"/>
          <w:szCs w:val="32"/>
        </w:rPr>
        <w:t xml:space="preserve">Extreme Volatility Hotspots: </w:t>
      </w:r>
      <w:r w:rsidRPr="009018FC">
        <w:rPr>
          <w:sz w:val="32"/>
          <w:szCs w:val="32"/>
        </w:rPr>
        <w:t xml:space="preserve">The </w:t>
      </w:r>
      <w:r w:rsidRPr="009018FC">
        <w:rPr>
          <w:b/>
          <w:sz w:val="32"/>
          <w:szCs w:val="32"/>
        </w:rPr>
        <w:t xml:space="preserve">Regional Volatility </w:t>
      </w:r>
      <w:r w:rsidRPr="009018FC">
        <w:rPr>
          <w:sz w:val="32"/>
          <w:szCs w:val="32"/>
        </w:rPr>
        <w:t>analysis (Dashboard 2) highlights that the countries with the highest rates, such as Armenia and Bulgaria, exhibit the largest</w:t>
      </w:r>
      <w:r w:rsidRPr="009018FC">
        <w:rPr>
          <w:spacing w:val="40"/>
          <w:sz w:val="32"/>
          <w:szCs w:val="32"/>
        </w:rPr>
        <w:t xml:space="preserve"> </w:t>
      </w:r>
      <w:r w:rsidRPr="009018FC">
        <w:rPr>
          <w:sz w:val="32"/>
          <w:szCs w:val="32"/>
        </w:rPr>
        <w:t>spread between their Max and Min Inflation Rates, signifying the greatest risk of unpredictable price swings.</w:t>
      </w:r>
    </w:p>
    <w:p w14:paraId="2E369AC4" w14:textId="77777777" w:rsidR="00B635F9" w:rsidRPr="00B635F9" w:rsidRDefault="00B635F9" w:rsidP="00B635F9">
      <w:pPr>
        <w:pStyle w:val="ListParagraph"/>
        <w:tabs>
          <w:tab w:val="left" w:pos="1850"/>
        </w:tabs>
        <w:spacing w:before="153" w:line="266" w:lineRule="auto"/>
        <w:ind w:right="1747"/>
        <w:rPr>
          <w:rFonts w:asciiTheme="minorHAnsi" w:hAnsiTheme="minorHAnsi" w:cstheme="minorHAnsi"/>
          <w:color w:val="0070C0"/>
          <w:sz w:val="32"/>
          <w:szCs w:val="32"/>
          <w:lang w:val="en-IN"/>
        </w:rPr>
      </w:pPr>
      <w:r w:rsidRPr="00B635F9">
        <w:rPr>
          <w:rFonts w:asciiTheme="minorHAnsi" w:hAnsiTheme="minorHAnsi" w:cstheme="minorHAnsi"/>
          <w:b/>
          <w:bCs/>
          <w:color w:val="0070C0"/>
          <w:sz w:val="32"/>
          <w:szCs w:val="32"/>
          <w:lang w:val="en-IN"/>
        </w:rPr>
        <w:t>Visualizations:</w:t>
      </w:r>
    </w:p>
    <w:p w14:paraId="7FDC0CC4" w14:textId="77777777" w:rsidR="00B635F9" w:rsidRPr="00B635F9" w:rsidRDefault="00B635F9" w:rsidP="00B635F9">
      <w:pPr>
        <w:pStyle w:val="ListParagraph"/>
        <w:numPr>
          <w:ilvl w:val="0"/>
          <w:numId w:val="6"/>
        </w:numPr>
        <w:tabs>
          <w:tab w:val="left" w:pos="1850"/>
        </w:tabs>
        <w:spacing w:before="153" w:line="266" w:lineRule="auto"/>
        <w:ind w:right="1747"/>
        <w:jc w:val="both"/>
        <w:rPr>
          <w:rFonts w:asciiTheme="minorHAnsi" w:hAnsiTheme="minorHAnsi" w:cstheme="minorHAnsi"/>
          <w:sz w:val="32"/>
          <w:szCs w:val="32"/>
          <w:lang w:val="en-IN"/>
        </w:rPr>
      </w:pPr>
      <w:r w:rsidRPr="00B635F9">
        <w:rPr>
          <w:rFonts w:asciiTheme="minorHAnsi" w:hAnsiTheme="minorHAnsi" w:cstheme="minorHAnsi"/>
          <w:b/>
          <w:bCs/>
          <w:color w:val="548DD4" w:themeColor="text2" w:themeTint="99"/>
          <w:sz w:val="32"/>
          <w:szCs w:val="32"/>
          <w:lang w:val="en-IN"/>
        </w:rPr>
        <w:t>Total Inflation Rate by Date:</w:t>
      </w:r>
      <w:r w:rsidRPr="00B635F9">
        <w:rPr>
          <w:rFonts w:asciiTheme="minorHAnsi" w:hAnsiTheme="minorHAnsi" w:cstheme="minorHAnsi"/>
          <w:color w:val="548DD4" w:themeColor="text2" w:themeTint="99"/>
          <w:sz w:val="32"/>
          <w:szCs w:val="32"/>
          <w:lang w:val="en-IN"/>
        </w:rPr>
        <w:t xml:space="preserve"> </w:t>
      </w:r>
      <w:r w:rsidRPr="00B635F9">
        <w:rPr>
          <w:rFonts w:asciiTheme="minorHAnsi" w:hAnsiTheme="minorHAnsi" w:cstheme="minorHAnsi"/>
          <w:sz w:val="32"/>
          <w:szCs w:val="32"/>
          <w:lang w:val="en-IN"/>
        </w:rPr>
        <w:t>A line chart visualizing the overall trend and seasonality of inflation spikes.</w:t>
      </w:r>
    </w:p>
    <w:p w14:paraId="37E2CAEB" w14:textId="77777777" w:rsidR="00B635F9" w:rsidRPr="00B635F9" w:rsidRDefault="00B635F9" w:rsidP="00B635F9">
      <w:pPr>
        <w:pStyle w:val="ListParagraph"/>
        <w:numPr>
          <w:ilvl w:val="0"/>
          <w:numId w:val="6"/>
        </w:numPr>
        <w:tabs>
          <w:tab w:val="left" w:pos="1850"/>
        </w:tabs>
        <w:spacing w:before="153" w:line="266" w:lineRule="auto"/>
        <w:ind w:right="1747"/>
        <w:jc w:val="both"/>
        <w:rPr>
          <w:rFonts w:asciiTheme="minorHAnsi" w:hAnsiTheme="minorHAnsi" w:cstheme="minorHAnsi"/>
          <w:sz w:val="32"/>
          <w:szCs w:val="32"/>
          <w:lang w:val="en-IN"/>
        </w:rPr>
      </w:pPr>
      <w:r w:rsidRPr="00B635F9">
        <w:rPr>
          <w:rFonts w:asciiTheme="minorHAnsi" w:hAnsiTheme="minorHAnsi" w:cstheme="minorHAnsi"/>
          <w:b/>
          <w:bCs/>
          <w:color w:val="548DD4" w:themeColor="text2" w:themeTint="99"/>
          <w:sz w:val="32"/>
          <w:szCs w:val="32"/>
          <w:lang w:val="en-IN"/>
        </w:rPr>
        <w:lastRenderedPageBreak/>
        <w:t>Total Inflation Rate Distribution:</w:t>
      </w:r>
      <w:r w:rsidRPr="00B635F9">
        <w:rPr>
          <w:rFonts w:asciiTheme="minorHAnsi" w:hAnsiTheme="minorHAnsi" w:cstheme="minorHAnsi"/>
          <w:color w:val="548DD4" w:themeColor="text2" w:themeTint="99"/>
          <w:sz w:val="32"/>
          <w:szCs w:val="32"/>
          <w:lang w:val="en-IN"/>
        </w:rPr>
        <w:t xml:space="preserve"> </w:t>
      </w:r>
      <w:r w:rsidRPr="00B635F9">
        <w:rPr>
          <w:rFonts w:asciiTheme="minorHAnsi" w:hAnsiTheme="minorHAnsi" w:cstheme="minorHAnsi"/>
          <w:sz w:val="32"/>
          <w:szCs w:val="32"/>
          <w:lang w:val="en-IN"/>
        </w:rPr>
        <w:t>A statistical breakdown showing the spread of inflation rates across the dataset.</w:t>
      </w:r>
    </w:p>
    <w:p w14:paraId="128F5BD6" w14:textId="77777777" w:rsidR="00B635F9" w:rsidRPr="00B635F9" w:rsidRDefault="00B635F9" w:rsidP="00B635F9">
      <w:pPr>
        <w:pStyle w:val="ListParagraph"/>
        <w:numPr>
          <w:ilvl w:val="0"/>
          <w:numId w:val="6"/>
        </w:numPr>
        <w:tabs>
          <w:tab w:val="left" w:pos="1850"/>
        </w:tabs>
        <w:spacing w:before="153" w:line="266" w:lineRule="auto"/>
        <w:ind w:right="1747"/>
        <w:jc w:val="both"/>
        <w:rPr>
          <w:rFonts w:asciiTheme="minorHAnsi" w:hAnsiTheme="minorHAnsi" w:cstheme="minorHAnsi"/>
          <w:sz w:val="32"/>
          <w:szCs w:val="32"/>
          <w:lang w:val="en-IN"/>
        </w:rPr>
      </w:pPr>
      <w:r w:rsidRPr="00B635F9">
        <w:rPr>
          <w:rFonts w:asciiTheme="minorHAnsi" w:hAnsiTheme="minorHAnsi" w:cstheme="minorHAnsi"/>
          <w:b/>
          <w:bCs/>
          <w:color w:val="548DD4" w:themeColor="text2" w:themeTint="99"/>
          <w:sz w:val="32"/>
          <w:szCs w:val="32"/>
          <w:lang w:val="en-IN"/>
        </w:rPr>
        <w:t>Average Inflation Rate by Region:</w:t>
      </w:r>
      <w:r w:rsidRPr="00B635F9">
        <w:rPr>
          <w:rFonts w:asciiTheme="minorHAnsi" w:hAnsiTheme="minorHAnsi" w:cstheme="minorHAnsi"/>
          <w:color w:val="548DD4" w:themeColor="text2" w:themeTint="99"/>
          <w:sz w:val="32"/>
          <w:szCs w:val="32"/>
          <w:lang w:val="en-IN"/>
        </w:rPr>
        <w:t xml:space="preserve"> </w:t>
      </w:r>
      <w:r w:rsidRPr="00B635F9">
        <w:rPr>
          <w:rFonts w:asciiTheme="minorHAnsi" w:hAnsiTheme="minorHAnsi" w:cstheme="minorHAnsi"/>
          <w:sz w:val="32"/>
          <w:szCs w:val="32"/>
          <w:lang w:val="en-IN"/>
        </w:rPr>
        <w:t>A bar chart providing a quick comparative view of inflation intensity across different continents/regions.</w:t>
      </w:r>
    </w:p>
    <w:p w14:paraId="20C2D8A4" w14:textId="0B1F2513" w:rsidR="00B635F9" w:rsidRPr="00F16197" w:rsidRDefault="00B635F9" w:rsidP="00B635F9">
      <w:pPr>
        <w:pStyle w:val="ListParagraph"/>
        <w:numPr>
          <w:ilvl w:val="0"/>
          <w:numId w:val="6"/>
        </w:numPr>
        <w:tabs>
          <w:tab w:val="left" w:pos="1850"/>
        </w:tabs>
        <w:spacing w:before="153" w:line="266" w:lineRule="auto"/>
        <w:ind w:right="1747"/>
        <w:jc w:val="both"/>
        <w:rPr>
          <w:rFonts w:asciiTheme="minorHAnsi" w:hAnsiTheme="minorHAnsi" w:cstheme="minorHAnsi"/>
          <w:color w:val="0070C0"/>
          <w:sz w:val="32"/>
          <w:szCs w:val="32"/>
          <w:lang w:val="en-IN"/>
        </w:rPr>
      </w:pPr>
      <w:r w:rsidRPr="00F16197">
        <w:rPr>
          <w:rFonts w:asciiTheme="minorHAnsi" w:hAnsiTheme="minorHAnsi" w:cstheme="minorHAnsi"/>
          <w:b/>
          <w:bCs/>
          <w:color w:val="0070C0"/>
          <w:sz w:val="32"/>
          <w:szCs w:val="32"/>
          <w:lang w:val="en-IN"/>
        </w:rPr>
        <w:t>Interactivity:</w:t>
      </w:r>
    </w:p>
    <w:p w14:paraId="6DFDD262" w14:textId="77777777" w:rsidR="00B635F9" w:rsidRPr="00B635F9" w:rsidRDefault="00B635F9" w:rsidP="00B635F9">
      <w:pPr>
        <w:pStyle w:val="ListParagraph"/>
        <w:numPr>
          <w:ilvl w:val="1"/>
          <w:numId w:val="6"/>
        </w:numPr>
        <w:tabs>
          <w:tab w:val="left" w:pos="1850"/>
        </w:tabs>
        <w:spacing w:before="153" w:line="266" w:lineRule="auto"/>
        <w:ind w:right="1747"/>
        <w:jc w:val="both"/>
        <w:rPr>
          <w:rFonts w:asciiTheme="minorHAnsi" w:hAnsiTheme="minorHAnsi" w:cstheme="minorHAnsi"/>
          <w:sz w:val="32"/>
          <w:szCs w:val="32"/>
          <w:lang w:val="en-IN"/>
        </w:rPr>
      </w:pPr>
      <w:r w:rsidRPr="00B635F9">
        <w:rPr>
          <w:rFonts w:asciiTheme="minorHAnsi" w:hAnsiTheme="minorHAnsi" w:cstheme="minorHAnsi"/>
          <w:b/>
          <w:bCs/>
          <w:sz w:val="32"/>
          <w:szCs w:val="32"/>
          <w:lang w:val="en-IN"/>
        </w:rPr>
        <w:t>Slicers:</w:t>
      </w:r>
      <w:r w:rsidRPr="00B635F9">
        <w:rPr>
          <w:rFonts w:asciiTheme="minorHAnsi" w:hAnsiTheme="minorHAnsi" w:cstheme="minorHAnsi"/>
          <w:sz w:val="32"/>
          <w:szCs w:val="32"/>
          <w:lang w:val="en-IN"/>
        </w:rPr>
        <w:t xml:space="preserve"> Users can filter the entire dashboard by </w:t>
      </w:r>
      <w:r w:rsidRPr="00B635F9">
        <w:rPr>
          <w:rFonts w:asciiTheme="minorHAnsi" w:hAnsiTheme="minorHAnsi" w:cstheme="minorHAnsi"/>
          <w:b/>
          <w:bCs/>
          <w:sz w:val="32"/>
          <w:szCs w:val="32"/>
          <w:lang w:val="en-IN"/>
        </w:rPr>
        <w:t>Region</w:t>
      </w:r>
      <w:r w:rsidRPr="00B635F9">
        <w:rPr>
          <w:rFonts w:asciiTheme="minorHAnsi" w:hAnsiTheme="minorHAnsi" w:cstheme="minorHAnsi"/>
          <w:sz w:val="32"/>
          <w:szCs w:val="32"/>
          <w:lang w:val="en-IN"/>
        </w:rPr>
        <w:t xml:space="preserve">, </w:t>
      </w:r>
      <w:r w:rsidRPr="00B635F9">
        <w:rPr>
          <w:rFonts w:asciiTheme="minorHAnsi" w:hAnsiTheme="minorHAnsi" w:cstheme="minorHAnsi"/>
          <w:b/>
          <w:bCs/>
          <w:sz w:val="32"/>
          <w:szCs w:val="32"/>
          <w:lang w:val="en-IN"/>
        </w:rPr>
        <w:t>Country</w:t>
      </w:r>
      <w:r w:rsidRPr="00B635F9">
        <w:rPr>
          <w:rFonts w:asciiTheme="minorHAnsi" w:hAnsiTheme="minorHAnsi" w:cstheme="minorHAnsi"/>
          <w:sz w:val="32"/>
          <w:szCs w:val="32"/>
          <w:lang w:val="en-IN"/>
        </w:rPr>
        <w:t xml:space="preserve">, and </w:t>
      </w:r>
      <w:r w:rsidRPr="00B635F9">
        <w:rPr>
          <w:rFonts w:asciiTheme="minorHAnsi" w:hAnsiTheme="minorHAnsi" w:cstheme="minorHAnsi"/>
          <w:b/>
          <w:bCs/>
          <w:sz w:val="32"/>
          <w:szCs w:val="32"/>
          <w:lang w:val="en-IN"/>
        </w:rPr>
        <w:t>Year</w:t>
      </w:r>
      <w:r w:rsidRPr="00B635F9">
        <w:rPr>
          <w:rFonts w:asciiTheme="minorHAnsi" w:hAnsiTheme="minorHAnsi" w:cstheme="minorHAnsi"/>
          <w:sz w:val="32"/>
          <w:szCs w:val="32"/>
          <w:lang w:val="en-IN"/>
        </w:rPr>
        <w:t xml:space="preserve"> to isolate specific data points.</w:t>
      </w:r>
    </w:p>
    <w:p w14:paraId="29EE3950" w14:textId="77777777" w:rsidR="00B635F9" w:rsidRPr="009018FC" w:rsidRDefault="00B635F9" w:rsidP="00B635F9">
      <w:pPr>
        <w:pStyle w:val="ListParagraph"/>
        <w:tabs>
          <w:tab w:val="left" w:pos="1850"/>
        </w:tabs>
        <w:spacing w:before="153" w:line="266" w:lineRule="auto"/>
        <w:ind w:right="1747" w:firstLine="0"/>
        <w:jc w:val="both"/>
        <w:rPr>
          <w:rFonts w:asciiTheme="minorHAnsi" w:hAnsiTheme="minorHAnsi" w:cstheme="minorHAnsi"/>
          <w:sz w:val="32"/>
          <w:szCs w:val="32"/>
        </w:rPr>
      </w:pPr>
    </w:p>
    <w:p w14:paraId="4F26220F" w14:textId="77777777" w:rsidR="00FA5377" w:rsidRPr="009018FC" w:rsidRDefault="00FA5377">
      <w:pPr>
        <w:pStyle w:val="BodyText"/>
        <w:rPr>
          <w:rFonts w:asciiTheme="minorHAnsi" w:hAnsiTheme="minorHAnsi" w:cstheme="minorHAnsi"/>
          <w:sz w:val="32"/>
          <w:szCs w:val="32"/>
        </w:rPr>
      </w:pPr>
    </w:p>
    <w:p w14:paraId="04F58C3E" w14:textId="3D5588D6" w:rsidR="00FA5377" w:rsidRPr="009018FC" w:rsidRDefault="009018FC">
      <w:pPr>
        <w:pStyle w:val="BodyText"/>
        <w:spacing w:before="58"/>
        <w:rPr>
          <w:sz w:val="32"/>
          <w:szCs w:val="32"/>
        </w:rPr>
      </w:pPr>
      <w:r>
        <w:rPr>
          <w:rFonts w:ascii="Symbol" w:hAnsi="Symbol"/>
          <w:noProof/>
          <w:sz w:val="32"/>
          <w:szCs w:val="32"/>
        </w:rPr>
        <w:drawing>
          <wp:inline distT="0" distB="0" distL="0" distR="0" wp14:anchorId="156F4460" wp14:editId="380CB38F">
            <wp:extent cx="7303080" cy="3756660"/>
            <wp:effectExtent l="0" t="0" r="0" b="0"/>
            <wp:docPr id="1289407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07994" name="Picture 1289407994"/>
                    <pic:cNvPicPr/>
                  </pic:nvPicPr>
                  <pic:blipFill>
                    <a:blip r:embed="rId5">
                      <a:extLst>
                        <a:ext uri="{28A0092B-C50C-407E-A947-70E740481C1C}">
                          <a14:useLocalDpi xmlns:a14="http://schemas.microsoft.com/office/drawing/2010/main" val="0"/>
                        </a:ext>
                      </a:extLst>
                    </a:blip>
                    <a:stretch>
                      <a:fillRect/>
                    </a:stretch>
                  </pic:blipFill>
                  <pic:spPr>
                    <a:xfrm>
                      <a:off x="0" y="0"/>
                      <a:ext cx="7306917" cy="3758634"/>
                    </a:xfrm>
                    <a:prstGeom prst="rect">
                      <a:avLst/>
                    </a:prstGeom>
                  </pic:spPr>
                </pic:pic>
              </a:graphicData>
            </a:graphic>
          </wp:inline>
        </w:drawing>
      </w:r>
    </w:p>
    <w:p w14:paraId="230A67DF" w14:textId="070D9F19" w:rsidR="00FA5377" w:rsidRPr="009018FC" w:rsidRDefault="00FA5377">
      <w:pPr>
        <w:pStyle w:val="ListParagraph"/>
        <w:spacing w:line="264" w:lineRule="auto"/>
        <w:rPr>
          <w:rFonts w:ascii="Symbol" w:hAnsi="Symbol"/>
          <w:sz w:val="32"/>
          <w:szCs w:val="32"/>
        </w:rPr>
        <w:sectPr w:rsidR="00FA5377" w:rsidRPr="009018FC">
          <w:pgSz w:w="12240" w:h="15840"/>
          <w:pgMar w:top="1320" w:right="0" w:bottom="280" w:left="360" w:header="720" w:footer="720" w:gutter="0"/>
          <w:cols w:space="720"/>
        </w:sectPr>
      </w:pPr>
    </w:p>
    <w:p w14:paraId="655B7E32" w14:textId="0B556FBF" w:rsidR="00B635F9" w:rsidRPr="00F16197" w:rsidRDefault="00B635F9" w:rsidP="009018FC">
      <w:pPr>
        <w:pStyle w:val="ListParagraph"/>
        <w:numPr>
          <w:ilvl w:val="1"/>
          <w:numId w:val="2"/>
        </w:numPr>
        <w:tabs>
          <w:tab w:val="left" w:pos="1850"/>
        </w:tabs>
        <w:spacing w:before="7" w:line="264" w:lineRule="auto"/>
        <w:ind w:right="1611"/>
        <w:rPr>
          <w:rFonts w:asciiTheme="minorHAnsi" w:hAnsiTheme="minorHAnsi" w:cstheme="minorHAnsi"/>
          <w:b/>
          <w:bCs/>
          <w:color w:val="0070C0"/>
          <w:sz w:val="32"/>
          <w:szCs w:val="32"/>
          <w:lang w:val="en-IN"/>
        </w:rPr>
      </w:pPr>
      <w:r w:rsidRPr="00F16197">
        <w:rPr>
          <w:rFonts w:asciiTheme="minorHAnsi" w:hAnsiTheme="minorHAnsi" w:cstheme="minorHAnsi"/>
          <w:b/>
          <w:bCs/>
          <w:color w:val="0070C0"/>
          <w:sz w:val="32"/>
          <w:szCs w:val="32"/>
          <w:lang w:val="en-IN"/>
        </w:rPr>
        <w:lastRenderedPageBreak/>
        <w:t>In</w:t>
      </w:r>
      <w:r w:rsidRPr="00F16197">
        <w:rPr>
          <w:rFonts w:asciiTheme="minorHAnsi" w:hAnsiTheme="minorHAnsi" w:cstheme="minorHAnsi"/>
          <w:b/>
          <w:bCs/>
          <w:color w:val="0070C0"/>
          <w:sz w:val="32"/>
          <w:szCs w:val="32"/>
          <w:lang w:val="en-IN"/>
        </w:rPr>
        <w:t>flation by Country</w:t>
      </w:r>
    </w:p>
    <w:p w14:paraId="02053815" w14:textId="77777777" w:rsidR="00B635F9" w:rsidRPr="009018FC" w:rsidRDefault="00B635F9" w:rsidP="00B635F9">
      <w:pPr>
        <w:pStyle w:val="ListParagraph"/>
        <w:numPr>
          <w:ilvl w:val="0"/>
          <w:numId w:val="8"/>
        </w:numPr>
        <w:tabs>
          <w:tab w:val="left" w:pos="1850"/>
        </w:tabs>
        <w:spacing w:before="7" w:line="264" w:lineRule="auto"/>
        <w:ind w:right="1611"/>
        <w:rPr>
          <w:rFonts w:asciiTheme="minorHAnsi" w:hAnsiTheme="minorHAnsi" w:cstheme="minorHAnsi"/>
          <w:sz w:val="32"/>
          <w:szCs w:val="32"/>
          <w:lang w:val="en-IN"/>
        </w:rPr>
      </w:pPr>
      <w:r w:rsidRPr="00F16197">
        <w:rPr>
          <w:rFonts w:asciiTheme="minorHAnsi" w:hAnsiTheme="minorHAnsi" w:cstheme="minorHAnsi"/>
          <w:b/>
          <w:bCs/>
          <w:color w:val="548DD4" w:themeColor="text2" w:themeTint="99"/>
          <w:sz w:val="32"/>
          <w:szCs w:val="32"/>
          <w:lang w:val="en-IN"/>
        </w:rPr>
        <w:t>Purpose:</w:t>
      </w:r>
      <w:r w:rsidRPr="00F16197">
        <w:rPr>
          <w:rFonts w:asciiTheme="minorHAnsi" w:hAnsiTheme="minorHAnsi" w:cstheme="minorHAnsi"/>
          <w:color w:val="548DD4" w:themeColor="text2" w:themeTint="99"/>
          <w:sz w:val="32"/>
          <w:szCs w:val="32"/>
          <w:lang w:val="en-IN"/>
        </w:rPr>
        <w:t xml:space="preserve"> </w:t>
      </w:r>
      <w:r w:rsidRPr="009018FC">
        <w:rPr>
          <w:rFonts w:asciiTheme="minorHAnsi" w:hAnsiTheme="minorHAnsi" w:cstheme="minorHAnsi"/>
          <w:sz w:val="32"/>
          <w:szCs w:val="32"/>
          <w:lang w:val="en-IN"/>
        </w:rPr>
        <w:t>This page is dedicated to identifying outliers and performing ranked analysis at the national level. It replaces generic risk assessments with specific "Best vs. Worst" performers.</w:t>
      </w:r>
    </w:p>
    <w:p w14:paraId="1D453108" w14:textId="77777777" w:rsidR="00B635F9" w:rsidRPr="00F16197" w:rsidRDefault="00B635F9" w:rsidP="00B635F9">
      <w:pPr>
        <w:pStyle w:val="ListParagraph"/>
        <w:numPr>
          <w:ilvl w:val="0"/>
          <w:numId w:val="8"/>
        </w:numPr>
        <w:tabs>
          <w:tab w:val="left" w:pos="1850"/>
        </w:tabs>
        <w:spacing w:before="7" w:line="264" w:lineRule="auto"/>
        <w:ind w:right="1611"/>
        <w:rPr>
          <w:rFonts w:asciiTheme="minorHAnsi" w:hAnsiTheme="minorHAnsi" w:cstheme="minorHAnsi"/>
          <w:color w:val="0070C0"/>
          <w:sz w:val="32"/>
          <w:szCs w:val="32"/>
          <w:lang w:val="en-IN"/>
        </w:rPr>
      </w:pPr>
      <w:r w:rsidRPr="00F16197">
        <w:rPr>
          <w:rFonts w:asciiTheme="minorHAnsi" w:hAnsiTheme="minorHAnsi" w:cstheme="minorHAnsi"/>
          <w:b/>
          <w:bCs/>
          <w:color w:val="0070C0"/>
          <w:sz w:val="32"/>
          <w:szCs w:val="32"/>
          <w:lang w:val="en-IN"/>
        </w:rPr>
        <w:t>Visualizations:</w:t>
      </w:r>
    </w:p>
    <w:p w14:paraId="0276CA9E" w14:textId="77777777" w:rsidR="00B635F9" w:rsidRPr="00B635F9" w:rsidRDefault="00B635F9" w:rsidP="00B635F9">
      <w:pPr>
        <w:numPr>
          <w:ilvl w:val="0"/>
          <w:numId w:val="8"/>
        </w:numPr>
        <w:tabs>
          <w:tab w:val="left" w:pos="1850"/>
        </w:tabs>
        <w:spacing w:before="7" w:line="264" w:lineRule="auto"/>
        <w:ind w:right="1611"/>
        <w:rPr>
          <w:rFonts w:asciiTheme="minorHAnsi" w:hAnsiTheme="minorHAnsi" w:cstheme="minorHAnsi"/>
          <w:sz w:val="32"/>
          <w:szCs w:val="32"/>
          <w:lang w:val="en-IN"/>
        </w:rPr>
      </w:pPr>
      <w:r w:rsidRPr="00B635F9">
        <w:rPr>
          <w:rFonts w:asciiTheme="minorHAnsi" w:hAnsiTheme="minorHAnsi" w:cstheme="minorHAnsi"/>
          <w:b/>
          <w:bCs/>
          <w:color w:val="548DD4" w:themeColor="text2" w:themeTint="99"/>
          <w:sz w:val="32"/>
          <w:szCs w:val="32"/>
          <w:lang w:val="en-IN"/>
        </w:rPr>
        <w:t>Top Highest Inflation Rate Countries (Risk Hotspots):</w:t>
      </w:r>
      <w:r w:rsidRPr="00B635F9">
        <w:rPr>
          <w:rFonts w:asciiTheme="minorHAnsi" w:hAnsiTheme="minorHAnsi" w:cstheme="minorHAnsi"/>
          <w:sz w:val="32"/>
          <w:szCs w:val="32"/>
          <w:lang w:val="en-IN"/>
        </w:rPr>
        <w:t xml:space="preserve"> A ranked bar chart isolating the countries with the most severe inflation, allowing for targeted risk mitigation strategies.</w:t>
      </w:r>
    </w:p>
    <w:p w14:paraId="2247B730" w14:textId="77777777" w:rsidR="00B635F9" w:rsidRPr="00B635F9" w:rsidRDefault="00B635F9" w:rsidP="00B635F9">
      <w:pPr>
        <w:numPr>
          <w:ilvl w:val="0"/>
          <w:numId w:val="8"/>
        </w:numPr>
        <w:tabs>
          <w:tab w:val="left" w:pos="1850"/>
        </w:tabs>
        <w:spacing w:before="7" w:line="264" w:lineRule="auto"/>
        <w:ind w:right="1611"/>
        <w:rPr>
          <w:rFonts w:asciiTheme="minorHAnsi" w:hAnsiTheme="minorHAnsi" w:cstheme="minorHAnsi"/>
          <w:sz w:val="32"/>
          <w:szCs w:val="32"/>
          <w:lang w:val="en-IN"/>
        </w:rPr>
      </w:pPr>
      <w:r w:rsidRPr="00B635F9">
        <w:rPr>
          <w:rFonts w:asciiTheme="minorHAnsi" w:hAnsiTheme="minorHAnsi" w:cstheme="minorHAnsi"/>
          <w:b/>
          <w:bCs/>
          <w:color w:val="548DD4" w:themeColor="text2" w:themeTint="99"/>
          <w:sz w:val="32"/>
          <w:szCs w:val="32"/>
          <w:lang w:val="en-IN"/>
        </w:rPr>
        <w:t>Top Lowest Inflation Rate Countries (Stability Anchors):</w:t>
      </w:r>
      <w:r w:rsidRPr="00B635F9">
        <w:rPr>
          <w:rFonts w:asciiTheme="minorHAnsi" w:hAnsiTheme="minorHAnsi" w:cstheme="minorHAnsi"/>
          <w:color w:val="548DD4" w:themeColor="text2" w:themeTint="99"/>
          <w:sz w:val="32"/>
          <w:szCs w:val="32"/>
          <w:lang w:val="en-IN"/>
        </w:rPr>
        <w:t xml:space="preserve"> </w:t>
      </w:r>
      <w:r w:rsidRPr="00B635F9">
        <w:rPr>
          <w:rFonts w:asciiTheme="minorHAnsi" w:hAnsiTheme="minorHAnsi" w:cstheme="minorHAnsi"/>
          <w:sz w:val="32"/>
          <w:szCs w:val="32"/>
          <w:lang w:val="en-IN"/>
        </w:rPr>
        <w:t>A ranked list of economies demonstrating the highest price stability, serving as benchmarks for successful economic policy.</w:t>
      </w:r>
    </w:p>
    <w:p w14:paraId="61028A1E" w14:textId="55EEA5C8" w:rsidR="00FA5377" w:rsidRPr="009018FC" w:rsidRDefault="00FA5377" w:rsidP="00B635F9">
      <w:pPr>
        <w:tabs>
          <w:tab w:val="left" w:pos="1850"/>
        </w:tabs>
        <w:spacing w:before="7" w:line="264" w:lineRule="auto"/>
        <w:ind w:right="1611"/>
        <w:rPr>
          <w:rFonts w:asciiTheme="minorHAnsi" w:hAnsiTheme="minorHAnsi" w:cstheme="minorHAnsi"/>
          <w:sz w:val="32"/>
          <w:szCs w:val="32"/>
        </w:rPr>
      </w:pPr>
    </w:p>
    <w:p w14:paraId="05BF8DB9" w14:textId="031440C0" w:rsidR="00B635F9" w:rsidRPr="009018FC" w:rsidRDefault="009018FC" w:rsidP="00B635F9">
      <w:pPr>
        <w:tabs>
          <w:tab w:val="left" w:pos="1850"/>
        </w:tabs>
        <w:spacing w:before="7" w:line="264" w:lineRule="auto"/>
        <w:ind w:right="1611"/>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3B04B122" wp14:editId="00AD46D1">
            <wp:extent cx="7309485" cy="4046220"/>
            <wp:effectExtent l="0" t="0" r="5715" b="0"/>
            <wp:docPr id="348366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66309" name="Picture 348366309"/>
                    <pic:cNvPicPr/>
                  </pic:nvPicPr>
                  <pic:blipFill>
                    <a:blip r:embed="rId6">
                      <a:extLst>
                        <a:ext uri="{28A0092B-C50C-407E-A947-70E740481C1C}">
                          <a14:useLocalDpi xmlns:a14="http://schemas.microsoft.com/office/drawing/2010/main" val="0"/>
                        </a:ext>
                      </a:extLst>
                    </a:blip>
                    <a:stretch>
                      <a:fillRect/>
                    </a:stretch>
                  </pic:blipFill>
                  <pic:spPr>
                    <a:xfrm>
                      <a:off x="0" y="0"/>
                      <a:ext cx="7315092" cy="4049324"/>
                    </a:xfrm>
                    <a:prstGeom prst="rect">
                      <a:avLst/>
                    </a:prstGeom>
                  </pic:spPr>
                </pic:pic>
              </a:graphicData>
            </a:graphic>
          </wp:inline>
        </w:drawing>
      </w:r>
    </w:p>
    <w:p w14:paraId="1B76AF93" w14:textId="77777777" w:rsidR="00B635F9" w:rsidRPr="009018FC" w:rsidRDefault="00B635F9" w:rsidP="00B635F9">
      <w:pPr>
        <w:tabs>
          <w:tab w:val="left" w:pos="1850"/>
        </w:tabs>
        <w:spacing w:before="7" w:line="264" w:lineRule="auto"/>
        <w:ind w:right="1611"/>
        <w:rPr>
          <w:rFonts w:asciiTheme="minorHAnsi" w:hAnsiTheme="minorHAnsi" w:cstheme="minorHAnsi"/>
          <w:sz w:val="32"/>
          <w:szCs w:val="32"/>
        </w:rPr>
      </w:pPr>
    </w:p>
    <w:p w14:paraId="6170E3E3" w14:textId="77777777" w:rsidR="00B635F9" w:rsidRPr="009018FC" w:rsidRDefault="00B635F9" w:rsidP="00B635F9">
      <w:pPr>
        <w:tabs>
          <w:tab w:val="left" w:pos="1850"/>
        </w:tabs>
        <w:spacing w:before="7" w:line="264" w:lineRule="auto"/>
        <w:ind w:right="1611"/>
        <w:rPr>
          <w:rFonts w:asciiTheme="minorHAnsi" w:hAnsiTheme="minorHAnsi" w:cstheme="minorHAnsi"/>
          <w:sz w:val="32"/>
          <w:szCs w:val="32"/>
        </w:rPr>
      </w:pPr>
    </w:p>
    <w:p w14:paraId="29F578D9" w14:textId="77777777" w:rsidR="00B635F9" w:rsidRPr="009018FC" w:rsidRDefault="00B635F9" w:rsidP="00B635F9">
      <w:pPr>
        <w:tabs>
          <w:tab w:val="left" w:pos="1850"/>
        </w:tabs>
        <w:spacing w:before="7" w:line="264" w:lineRule="auto"/>
        <w:ind w:right="1611"/>
        <w:rPr>
          <w:rFonts w:asciiTheme="minorHAnsi" w:hAnsiTheme="minorHAnsi" w:cstheme="minorHAnsi"/>
          <w:sz w:val="32"/>
          <w:szCs w:val="32"/>
        </w:rPr>
      </w:pPr>
    </w:p>
    <w:p w14:paraId="69BAF839" w14:textId="77777777" w:rsidR="00B635F9" w:rsidRPr="009018FC" w:rsidRDefault="00B635F9" w:rsidP="00B635F9">
      <w:pPr>
        <w:tabs>
          <w:tab w:val="left" w:pos="1850"/>
        </w:tabs>
        <w:spacing w:before="7" w:line="264" w:lineRule="auto"/>
        <w:ind w:right="1611"/>
        <w:rPr>
          <w:rFonts w:asciiTheme="minorHAnsi" w:hAnsiTheme="minorHAnsi" w:cstheme="minorHAnsi"/>
          <w:sz w:val="32"/>
          <w:szCs w:val="32"/>
        </w:rPr>
      </w:pPr>
    </w:p>
    <w:p w14:paraId="06A1E69E" w14:textId="77777777" w:rsidR="00B635F9" w:rsidRDefault="00B635F9" w:rsidP="00B635F9">
      <w:pPr>
        <w:tabs>
          <w:tab w:val="left" w:pos="1850"/>
        </w:tabs>
        <w:spacing w:before="7" w:line="264" w:lineRule="auto"/>
        <w:ind w:right="1611"/>
        <w:rPr>
          <w:rFonts w:asciiTheme="minorHAnsi" w:hAnsiTheme="minorHAnsi" w:cstheme="minorHAnsi"/>
          <w:sz w:val="32"/>
          <w:szCs w:val="32"/>
        </w:rPr>
      </w:pPr>
    </w:p>
    <w:p w14:paraId="2FC8FCA8" w14:textId="77777777" w:rsidR="009018FC" w:rsidRPr="009018FC" w:rsidRDefault="009018FC" w:rsidP="00B635F9">
      <w:pPr>
        <w:tabs>
          <w:tab w:val="left" w:pos="1850"/>
        </w:tabs>
        <w:spacing w:before="7" w:line="264" w:lineRule="auto"/>
        <w:ind w:right="1611"/>
        <w:rPr>
          <w:rFonts w:asciiTheme="minorHAnsi" w:hAnsiTheme="minorHAnsi" w:cstheme="minorHAnsi"/>
          <w:sz w:val="32"/>
          <w:szCs w:val="32"/>
        </w:rPr>
      </w:pPr>
    </w:p>
    <w:p w14:paraId="661D861B" w14:textId="77777777" w:rsidR="00B635F9" w:rsidRPr="00B635F9" w:rsidRDefault="00B635F9" w:rsidP="00B635F9">
      <w:pPr>
        <w:tabs>
          <w:tab w:val="left" w:pos="1850"/>
        </w:tabs>
        <w:spacing w:before="7" w:line="264" w:lineRule="auto"/>
        <w:ind w:right="1611"/>
        <w:rPr>
          <w:rFonts w:asciiTheme="minorHAnsi" w:hAnsiTheme="minorHAnsi" w:cstheme="minorHAnsi"/>
          <w:b/>
          <w:bCs/>
          <w:color w:val="0070C0"/>
          <w:sz w:val="32"/>
          <w:szCs w:val="32"/>
          <w:lang w:val="en-IN"/>
        </w:rPr>
      </w:pPr>
      <w:r w:rsidRPr="00B635F9">
        <w:rPr>
          <w:rFonts w:asciiTheme="minorHAnsi" w:hAnsiTheme="minorHAnsi" w:cstheme="minorHAnsi"/>
          <w:b/>
          <w:bCs/>
          <w:color w:val="0070C0"/>
          <w:sz w:val="32"/>
          <w:szCs w:val="32"/>
          <w:lang w:val="en-IN"/>
        </w:rPr>
        <w:lastRenderedPageBreak/>
        <w:t>Inflation by Time</w:t>
      </w:r>
    </w:p>
    <w:p w14:paraId="15AEA52F" w14:textId="77777777" w:rsidR="00B635F9" w:rsidRPr="00B635F9" w:rsidRDefault="00B635F9" w:rsidP="00B635F9">
      <w:pPr>
        <w:tabs>
          <w:tab w:val="left" w:pos="1850"/>
        </w:tabs>
        <w:spacing w:before="7" w:line="264" w:lineRule="auto"/>
        <w:ind w:right="1611"/>
        <w:rPr>
          <w:rFonts w:asciiTheme="minorHAnsi" w:hAnsiTheme="minorHAnsi" w:cstheme="minorHAnsi"/>
          <w:sz w:val="32"/>
          <w:szCs w:val="32"/>
          <w:lang w:val="en-IN"/>
        </w:rPr>
      </w:pPr>
      <w:r w:rsidRPr="00B635F9">
        <w:rPr>
          <w:rFonts w:asciiTheme="minorHAnsi" w:hAnsiTheme="minorHAnsi" w:cstheme="minorHAnsi"/>
          <w:b/>
          <w:bCs/>
          <w:color w:val="548DD4" w:themeColor="text2" w:themeTint="99"/>
          <w:sz w:val="32"/>
          <w:szCs w:val="32"/>
          <w:lang w:val="en-IN"/>
        </w:rPr>
        <w:t>Purpose:</w:t>
      </w:r>
      <w:r w:rsidRPr="00B635F9">
        <w:rPr>
          <w:rFonts w:asciiTheme="minorHAnsi" w:hAnsiTheme="minorHAnsi" w:cstheme="minorHAnsi"/>
          <w:color w:val="548DD4" w:themeColor="text2" w:themeTint="99"/>
          <w:sz w:val="32"/>
          <w:szCs w:val="32"/>
          <w:lang w:val="en-IN"/>
        </w:rPr>
        <w:t xml:space="preserve"> </w:t>
      </w:r>
      <w:r w:rsidRPr="00B635F9">
        <w:rPr>
          <w:rFonts w:asciiTheme="minorHAnsi" w:hAnsiTheme="minorHAnsi" w:cstheme="minorHAnsi"/>
          <w:sz w:val="32"/>
          <w:szCs w:val="32"/>
          <w:lang w:val="en-IN"/>
        </w:rPr>
        <w:t>A dedicated temporal analysis page designed to correlate inflation fluctuations with specific time periods.</w:t>
      </w:r>
    </w:p>
    <w:p w14:paraId="6803BAB6" w14:textId="77777777" w:rsidR="00B635F9" w:rsidRPr="00B635F9" w:rsidRDefault="00B635F9" w:rsidP="00B635F9">
      <w:pPr>
        <w:tabs>
          <w:tab w:val="left" w:pos="1850"/>
        </w:tabs>
        <w:spacing w:before="7" w:line="264" w:lineRule="auto"/>
        <w:ind w:right="1611"/>
        <w:rPr>
          <w:rFonts w:asciiTheme="minorHAnsi" w:hAnsiTheme="minorHAnsi" w:cstheme="minorHAnsi"/>
          <w:color w:val="0070C0"/>
          <w:sz w:val="32"/>
          <w:szCs w:val="32"/>
          <w:lang w:val="en-IN"/>
        </w:rPr>
      </w:pPr>
      <w:r w:rsidRPr="00B635F9">
        <w:rPr>
          <w:rFonts w:asciiTheme="minorHAnsi" w:hAnsiTheme="minorHAnsi" w:cstheme="minorHAnsi"/>
          <w:b/>
          <w:bCs/>
          <w:color w:val="0070C0"/>
          <w:sz w:val="32"/>
          <w:szCs w:val="32"/>
          <w:lang w:val="en-IN"/>
        </w:rPr>
        <w:t>Visualizations:</w:t>
      </w:r>
    </w:p>
    <w:p w14:paraId="721ED29F" w14:textId="77777777" w:rsidR="00B635F9" w:rsidRDefault="00B635F9" w:rsidP="00B635F9">
      <w:pPr>
        <w:numPr>
          <w:ilvl w:val="0"/>
          <w:numId w:val="9"/>
        </w:numPr>
        <w:tabs>
          <w:tab w:val="left" w:pos="1850"/>
        </w:tabs>
        <w:spacing w:before="7" w:line="264" w:lineRule="auto"/>
        <w:ind w:right="1611"/>
        <w:rPr>
          <w:rFonts w:asciiTheme="minorHAnsi" w:hAnsiTheme="minorHAnsi" w:cstheme="minorHAnsi"/>
          <w:sz w:val="32"/>
          <w:szCs w:val="32"/>
          <w:lang w:val="en-IN"/>
        </w:rPr>
      </w:pPr>
      <w:r w:rsidRPr="00B635F9">
        <w:rPr>
          <w:rFonts w:asciiTheme="minorHAnsi" w:hAnsiTheme="minorHAnsi" w:cstheme="minorHAnsi"/>
          <w:b/>
          <w:bCs/>
          <w:color w:val="548DD4" w:themeColor="text2" w:themeTint="99"/>
          <w:sz w:val="32"/>
          <w:szCs w:val="32"/>
          <w:lang w:val="en-IN"/>
        </w:rPr>
        <w:t>Time-Series Trends:</w:t>
      </w:r>
      <w:r w:rsidRPr="00B635F9">
        <w:rPr>
          <w:rFonts w:asciiTheme="minorHAnsi" w:hAnsiTheme="minorHAnsi" w:cstheme="minorHAnsi"/>
          <w:color w:val="548DD4" w:themeColor="text2" w:themeTint="99"/>
          <w:sz w:val="32"/>
          <w:szCs w:val="32"/>
          <w:lang w:val="en-IN"/>
        </w:rPr>
        <w:t xml:space="preserve"> </w:t>
      </w:r>
      <w:r w:rsidRPr="00B635F9">
        <w:rPr>
          <w:rFonts w:asciiTheme="minorHAnsi" w:hAnsiTheme="minorHAnsi" w:cstheme="minorHAnsi"/>
          <w:sz w:val="32"/>
          <w:szCs w:val="32"/>
          <w:lang w:val="en-IN"/>
        </w:rPr>
        <w:t>Visuals on this page focus exclusively on the chronological evolution of inflation, allowing analysts to detect cycles, seasonal impacts, or specific years of economic shock.</w:t>
      </w:r>
    </w:p>
    <w:p w14:paraId="7D0342C2" w14:textId="77777777" w:rsidR="009018FC" w:rsidRDefault="009018FC" w:rsidP="009018FC">
      <w:pPr>
        <w:tabs>
          <w:tab w:val="left" w:pos="1850"/>
        </w:tabs>
        <w:spacing w:before="7" w:line="264" w:lineRule="auto"/>
        <w:ind w:left="720" w:right="1611"/>
        <w:rPr>
          <w:rFonts w:asciiTheme="minorHAnsi" w:hAnsiTheme="minorHAnsi" w:cstheme="minorHAnsi"/>
          <w:sz w:val="32"/>
          <w:szCs w:val="32"/>
          <w:lang w:val="en-IN"/>
        </w:rPr>
      </w:pPr>
    </w:p>
    <w:p w14:paraId="041A6086" w14:textId="26A2684C" w:rsidR="009018FC" w:rsidRPr="00B635F9" w:rsidRDefault="009018FC" w:rsidP="009018FC">
      <w:pPr>
        <w:tabs>
          <w:tab w:val="left" w:pos="1850"/>
        </w:tabs>
        <w:spacing w:before="7" w:line="264" w:lineRule="auto"/>
        <w:ind w:left="720" w:right="1611"/>
        <w:rPr>
          <w:rFonts w:asciiTheme="minorHAnsi" w:hAnsiTheme="minorHAnsi" w:cstheme="minorHAnsi"/>
          <w:sz w:val="32"/>
          <w:szCs w:val="32"/>
          <w:lang w:val="en-IN"/>
        </w:rPr>
      </w:pPr>
      <w:r>
        <w:rPr>
          <w:rFonts w:asciiTheme="minorHAnsi" w:hAnsiTheme="minorHAnsi" w:cstheme="minorHAnsi"/>
          <w:noProof/>
          <w:sz w:val="32"/>
          <w:szCs w:val="32"/>
          <w:lang w:val="en-IN"/>
        </w:rPr>
        <w:drawing>
          <wp:inline distT="0" distB="0" distL="0" distR="0" wp14:anchorId="3F87FCD6" wp14:editId="04BD7F36">
            <wp:extent cx="6559748" cy="3834765"/>
            <wp:effectExtent l="0" t="0" r="0" b="0"/>
            <wp:docPr id="98993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750" name="Picture 98993750"/>
                    <pic:cNvPicPr/>
                  </pic:nvPicPr>
                  <pic:blipFill>
                    <a:blip r:embed="rId7">
                      <a:extLst>
                        <a:ext uri="{28A0092B-C50C-407E-A947-70E740481C1C}">
                          <a14:useLocalDpi xmlns:a14="http://schemas.microsoft.com/office/drawing/2010/main" val="0"/>
                        </a:ext>
                      </a:extLst>
                    </a:blip>
                    <a:stretch>
                      <a:fillRect/>
                    </a:stretch>
                  </pic:blipFill>
                  <pic:spPr>
                    <a:xfrm>
                      <a:off x="0" y="0"/>
                      <a:ext cx="6590029" cy="3852467"/>
                    </a:xfrm>
                    <a:prstGeom prst="rect">
                      <a:avLst/>
                    </a:prstGeom>
                  </pic:spPr>
                </pic:pic>
              </a:graphicData>
            </a:graphic>
          </wp:inline>
        </w:drawing>
      </w:r>
    </w:p>
    <w:p w14:paraId="7A9F46F3" w14:textId="77777777" w:rsidR="00B635F9" w:rsidRPr="009018FC" w:rsidRDefault="00B635F9" w:rsidP="00B635F9">
      <w:pPr>
        <w:tabs>
          <w:tab w:val="left" w:pos="1850"/>
        </w:tabs>
        <w:spacing w:before="7" w:line="264" w:lineRule="auto"/>
        <w:ind w:right="1611"/>
        <w:rPr>
          <w:rFonts w:asciiTheme="minorHAnsi" w:hAnsiTheme="minorHAnsi" w:cstheme="minorHAnsi"/>
          <w:sz w:val="32"/>
          <w:szCs w:val="32"/>
        </w:rPr>
      </w:pPr>
    </w:p>
    <w:p w14:paraId="30E1D7F5" w14:textId="77777777" w:rsidR="00B635F9" w:rsidRPr="009018FC" w:rsidRDefault="00B635F9" w:rsidP="00B635F9">
      <w:pPr>
        <w:tabs>
          <w:tab w:val="left" w:pos="1850"/>
        </w:tabs>
        <w:spacing w:before="7" w:line="264" w:lineRule="auto"/>
        <w:ind w:right="1611"/>
        <w:rPr>
          <w:rFonts w:asciiTheme="minorHAnsi" w:hAnsiTheme="minorHAnsi" w:cstheme="minorHAnsi"/>
          <w:sz w:val="32"/>
          <w:szCs w:val="32"/>
        </w:rPr>
      </w:pPr>
    </w:p>
    <w:p w14:paraId="5BAA0583" w14:textId="77777777" w:rsidR="00B635F9" w:rsidRPr="009018FC" w:rsidRDefault="00B635F9" w:rsidP="00B635F9">
      <w:pPr>
        <w:tabs>
          <w:tab w:val="left" w:pos="1850"/>
        </w:tabs>
        <w:spacing w:before="7" w:line="264" w:lineRule="auto"/>
        <w:ind w:right="1611"/>
        <w:rPr>
          <w:rFonts w:asciiTheme="minorHAnsi" w:hAnsiTheme="minorHAnsi" w:cstheme="minorHAnsi"/>
          <w:sz w:val="32"/>
          <w:szCs w:val="32"/>
        </w:rPr>
      </w:pPr>
    </w:p>
    <w:p w14:paraId="04A523BF" w14:textId="77777777" w:rsidR="00B635F9" w:rsidRPr="009018FC" w:rsidRDefault="00B635F9" w:rsidP="00B635F9">
      <w:pPr>
        <w:tabs>
          <w:tab w:val="left" w:pos="1850"/>
        </w:tabs>
        <w:spacing w:before="7" w:line="264" w:lineRule="auto"/>
        <w:ind w:right="1611"/>
        <w:rPr>
          <w:rFonts w:asciiTheme="minorHAnsi" w:hAnsiTheme="minorHAnsi" w:cstheme="minorHAnsi"/>
          <w:sz w:val="32"/>
          <w:szCs w:val="32"/>
        </w:rPr>
      </w:pPr>
    </w:p>
    <w:p w14:paraId="46107529" w14:textId="77777777" w:rsidR="00B635F9" w:rsidRPr="009018FC" w:rsidRDefault="00B635F9" w:rsidP="00B635F9">
      <w:pPr>
        <w:tabs>
          <w:tab w:val="left" w:pos="1850"/>
        </w:tabs>
        <w:spacing w:before="7" w:line="264" w:lineRule="auto"/>
        <w:ind w:right="1611"/>
        <w:rPr>
          <w:rFonts w:asciiTheme="minorHAnsi" w:hAnsiTheme="minorHAnsi" w:cstheme="minorHAnsi"/>
          <w:sz w:val="32"/>
          <w:szCs w:val="32"/>
        </w:rPr>
      </w:pPr>
    </w:p>
    <w:p w14:paraId="358C126E" w14:textId="77777777" w:rsidR="00B635F9" w:rsidRPr="009018FC" w:rsidRDefault="00B635F9" w:rsidP="00B635F9">
      <w:pPr>
        <w:tabs>
          <w:tab w:val="left" w:pos="1850"/>
        </w:tabs>
        <w:spacing w:before="7" w:line="264" w:lineRule="auto"/>
        <w:ind w:right="1611"/>
        <w:rPr>
          <w:rFonts w:asciiTheme="minorHAnsi" w:hAnsiTheme="minorHAnsi" w:cstheme="minorHAnsi"/>
          <w:sz w:val="32"/>
          <w:szCs w:val="32"/>
        </w:rPr>
      </w:pPr>
    </w:p>
    <w:p w14:paraId="2EC75A5D" w14:textId="77777777" w:rsidR="00B635F9" w:rsidRPr="009018FC" w:rsidRDefault="00B635F9" w:rsidP="00B635F9">
      <w:pPr>
        <w:tabs>
          <w:tab w:val="left" w:pos="1850"/>
        </w:tabs>
        <w:spacing w:before="7" w:line="264" w:lineRule="auto"/>
        <w:ind w:right="1611"/>
        <w:rPr>
          <w:rFonts w:asciiTheme="minorHAnsi" w:hAnsiTheme="minorHAnsi" w:cstheme="minorHAnsi"/>
          <w:sz w:val="32"/>
          <w:szCs w:val="32"/>
        </w:rPr>
      </w:pPr>
    </w:p>
    <w:p w14:paraId="16320E07" w14:textId="77777777" w:rsidR="00B635F9" w:rsidRPr="009018FC" w:rsidRDefault="00B635F9" w:rsidP="00B635F9">
      <w:pPr>
        <w:tabs>
          <w:tab w:val="left" w:pos="1850"/>
        </w:tabs>
        <w:spacing w:before="7" w:line="264" w:lineRule="auto"/>
        <w:ind w:right="1611"/>
        <w:rPr>
          <w:rFonts w:asciiTheme="minorHAnsi" w:hAnsiTheme="minorHAnsi" w:cstheme="minorHAnsi"/>
          <w:sz w:val="32"/>
          <w:szCs w:val="32"/>
        </w:rPr>
      </w:pPr>
    </w:p>
    <w:p w14:paraId="69C8BBAC" w14:textId="7BC73B16" w:rsidR="009018FC" w:rsidRDefault="009018FC" w:rsidP="00B635F9">
      <w:pPr>
        <w:tabs>
          <w:tab w:val="left" w:pos="1850"/>
        </w:tabs>
        <w:spacing w:before="7" w:line="264" w:lineRule="auto"/>
        <w:ind w:right="1611"/>
        <w:rPr>
          <w:rFonts w:asciiTheme="minorHAnsi" w:hAnsiTheme="minorHAnsi" w:cstheme="minorHAnsi"/>
          <w:sz w:val="32"/>
          <w:szCs w:val="32"/>
        </w:rPr>
      </w:pPr>
    </w:p>
    <w:p w14:paraId="1E50343D" w14:textId="77777777" w:rsidR="00B635F9" w:rsidRPr="009018FC" w:rsidRDefault="00B635F9" w:rsidP="00B635F9">
      <w:pPr>
        <w:tabs>
          <w:tab w:val="left" w:pos="1850"/>
        </w:tabs>
        <w:spacing w:before="7" w:line="264" w:lineRule="auto"/>
        <w:ind w:right="1611"/>
        <w:rPr>
          <w:rFonts w:asciiTheme="minorHAnsi" w:hAnsiTheme="minorHAnsi" w:cstheme="minorHAnsi"/>
          <w:sz w:val="32"/>
          <w:szCs w:val="32"/>
        </w:rPr>
      </w:pPr>
    </w:p>
    <w:p w14:paraId="5B92F326" w14:textId="77777777" w:rsidR="00E43C52" w:rsidRPr="00E43C52" w:rsidRDefault="00E43C52" w:rsidP="00E43C52">
      <w:pPr>
        <w:tabs>
          <w:tab w:val="left" w:pos="1850"/>
        </w:tabs>
        <w:spacing w:before="7" w:line="264" w:lineRule="auto"/>
        <w:ind w:right="1611"/>
        <w:rPr>
          <w:rFonts w:asciiTheme="minorHAnsi" w:hAnsiTheme="minorHAnsi" w:cstheme="minorHAnsi"/>
          <w:b/>
          <w:bCs/>
          <w:color w:val="0070C0"/>
          <w:sz w:val="32"/>
          <w:szCs w:val="32"/>
          <w:lang w:val="en-IN"/>
        </w:rPr>
      </w:pPr>
      <w:r w:rsidRPr="00E43C52">
        <w:rPr>
          <w:rFonts w:asciiTheme="minorHAnsi" w:hAnsiTheme="minorHAnsi" w:cstheme="minorHAnsi"/>
          <w:b/>
          <w:bCs/>
          <w:color w:val="0070C0"/>
          <w:sz w:val="32"/>
          <w:szCs w:val="32"/>
          <w:lang w:val="en-IN"/>
        </w:rPr>
        <w:lastRenderedPageBreak/>
        <w:t>Regional Overview</w:t>
      </w:r>
    </w:p>
    <w:p w14:paraId="2F86D5CB" w14:textId="77777777" w:rsidR="00E43C52" w:rsidRPr="00E43C52" w:rsidRDefault="00E43C52" w:rsidP="00E43C52">
      <w:pPr>
        <w:tabs>
          <w:tab w:val="left" w:pos="1850"/>
        </w:tabs>
        <w:spacing w:before="7" w:line="264" w:lineRule="auto"/>
        <w:ind w:right="1611"/>
        <w:rPr>
          <w:rFonts w:asciiTheme="minorHAnsi" w:hAnsiTheme="minorHAnsi" w:cstheme="minorHAnsi"/>
          <w:sz w:val="32"/>
          <w:szCs w:val="32"/>
          <w:lang w:val="en-IN"/>
        </w:rPr>
      </w:pPr>
      <w:r w:rsidRPr="00E43C52">
        <w:rPr>
          <w:rFonts w:asciiTheme="minorHAnsi" w:hAnsiTheme="minorHAnsi" w:cstheme="minorHAnsi"/>
          <w:b/>
          <w:bCs/>
          <w:color w:val="548DD4" w:themeColor="text2" w:themeTint="99"/>
          <w:sz w:val="32"/>
          <w:szCs w:val="32"/>
          <w:lang w:val="en-IN"/>
        </w:rPr>
        <w:t>Purpose:</w:t>
      </w:r>
      <w:r w:rsidRPr="00E43C52">
        <w:rPr>
          <w:rFonts w:asciiTheme="minorHAnsi" w:hAnsiTheme="minorHAnsi" w:cstheme="minorHAnsi"/>
          <w:color w:val="548DD4" w:themeColor="text2" w:themeTint="99"/>
          <w:sz w:val="32"/>
          <w:szCs w:val="32"/>
          <w:lang w:val="en-IN"/>
        </w:rPr>
        <w:t xml:space="preserve"> </w:t>
      </w:r>
      <w:r w:rsidRPr="00E43C52">
        <w:rPr>
          <w:rFonts w:asciiTheme="minorHAnsi" w:hAnsiTheme="minorHAnsi" w:cstheme="minorHAnsi"/>
          <w:sz w:val="32"/>
          <w:szCs w:val="32"/>
          <w:lang w:val="en-IN"/>
        </w:rPr>
        <w:t>This page aggregates data to a macro-geographic level, enabling a broader view of economic zones rather than individual nations.</w:t>
      </w:r>
    </w:p>
    <w:p w14:paraId="62C4902E" w14:textId="77777777" w:rsidR="00E43C52" w:rsidRPr="00E43C52" w:rsidRDefault="00E43C52" w:rsidP="00E43C52">
      <w:pPr>
        <w:tabs>
          <w:tab w:val="left" w:pos="1850"/>
        </w:tabs>
        <w:spacing w:before="7" w:line="264" w:lineRule="auto"/>
        <w:ind w:right="1611"/>
        <w:rPr>
          <w:rFonts w:asciiTheme="minorHAnsi" w:hAnsiTheme="minorHAnsi" w:cstheme="minorHAnsi"/>
          <w:color w:val="0070C0"/>
          <w:sz w:val="32"/>
          <w:szCs w:val="32"/>
          <w:lang w:val="en-IN"/>
        </w:rPr>
      </w:pPr>
      <w:r w:rsidRPr="00E43C52">
        <w:rPr>
          <w:rFonts w:asciiTheme="minorHAnsi" w:hAnsiTheme="minorHAnsi" w:cstheme="minorHAnsi"/>
          <w:b/>
          <w:bCs/>
          <w:color w:val="0070C0"/>
          <w:sz w:val="32"/>
          <w:szCs w:val="32"/>
          <w:lang w:val="en-IN"/>
        </w:rPr>
        <w:t>Visualizations:</w:t>
      </w:r>
    </w:p>
    <w:p w14:paraId="29DC20D6" w14:textId="77777777" w:rsidR="00E43C52" w:rsidRPr="00E43C52" w:rsidRDefault="00E43C52" w:rsidP="00E43C52">
      <w:pPr>
        <w:numPr>
          <w:ilvl w:val="0"/>
          <w:numId w:val="10"/>
        </w:numPr>
        <w:tabs>
          <w:tab w:val="left" w:pos="1850"/>
        </w:tabs>
        <w:spacing w:before="7" w:line="264" w:lineRule="auto"/>
        <w:ind w:right="1611"/>
        <w:rPr>
          <w:rFonts w:asciiTheme="minorHAnsi" w:hAnsiTheme="minorHAnsi" w:cstheme="minorHAnsi"/>
          <w:sz w:val="32"/>
          <w:szCs w:val="32"/>
          <w:lang w:val="en-IN"/>
        </w:rPr>
      </w:pPr>
      <w:r w:rsidRPr="00E43C52">
        <w:rPr>
          <w:rFonts w:asciiTheme="minorHAnsi" w:hAnsiTheme="minorHAnsi" w:cstheme="minorHAnsi"/>
          <w:b/>
          <w:bCs/>
          <w:color w:val="548DD4" w:themeColor="text2" w:themeTint="99"/>
          <w:sz w:val="32"/>
          <w:szCs w:val="32"/>
          <w:lang w:val="en-IN"/>
        </w:rPr>
        <w:t>Average Inflation Rate by Region:</w:t>
      </w:r>
      <w:r w:rsidRPr="00E43C52">
        <w:rPr>
          <w:rFonts w:asciiTheme="minorHAnsi" w:hAnsiTheme="minorHAnsi" w:cstheme="minorHAnsi"/>
          <w:color w:val="548DD4" w:themeColor="text2" w:themeTint="99"/>
          <w:sz w:val="32"/>
          <w:szCs w:val="32"/>
          <w:lang w:val="en-IN"/>
        </w:rPr>
        <w:t xml:space="preserve"> </w:t>
      </w:r>
      <w:r w:rsidRPr="00E43C52">
        <w:rPr>
          <w:rFonts w:asciiTheme="minorHAnsi" w:hAnsiTheme="minorHAnsi" w:cstheme="minorHAnsi"/>
          <w:sz w:val="32"/>
          <w:szCs w:val="32"/>
          <w:lang w:val="en-IN"/>
        </w:rPr>
        <w:t>Highlights which global zones (e.g., Asia, Europe, Americas) are experiencing the highest average inflationary pressure.</w:t>
      </w:r>
    </w:p>
    <w:p w14:paraId="7CE46956" w14:textId="77777777" w:rsidR="00E43C52" w:rsidRPr="00E43C52" w:rsidRDefault="00E43C52" w:rsidP="00E43C52">
      <w:pPr>
        <w:numPr>
          <w:ilvl w:val="0"/>
          <w:numId w:val="10"/>
        </w:numPr>
        <w:tabs>
          <w:tab w:val="left" w:pos="1850"/>
        </w:tabs>
        <w:spacing w:before="7" w:line="264" w:lineRule="auto"/>
        <w:ind w:right="1611"/>
        <w:rPr>
          <w:rFonts w:asciiTheme="minorHAnsi" w:hAnsiTheme="minorHAnsi" w:cstheme="minorHAnsi"/>
          <w:sz w:val="32"/>
          <w:szCs w:val="32"/>
          <w:lang w:val="en-IN"/>
        </w:rPr>
      </w:pPr>
      <w:r w:rsidRPr="00E43C52">
        <w:rPr>
          <w:rFonts w:asciiTheme="minorHAnsi" w:hAnsiTheme="minorHAnsi" w:cstheme="minorHAnsi"/>
          <w:b/>
          <w:bCs/>
          <w:color w:val="548DD4" w:themeColor="text2" w:themeTint="99"/>
          <w:sz w:val="32"/>
          <w:szCs w:val="32"/>
          <w:lang w:val="en-IN"/>
        </w:rPr>
        <w:t>Total Inflation Rate Distribution by Region:</w:t>
      </w:r>
      <w:r w:rsidRPr="00E43C52">
        <w:rPr>
          <w:rFonts w:asciiTheme="minorHAnsi" w:hAnsiTheme="minorHAnsi" w:cstheme="minorHAnsi"/>
          <w:color w:val="548DD4" w:themeColor="text2" w:themeTint="99"/>
          <w:sz w:val="32"/>
          <w:szCs w:val="32"/>
          <w:lang w:val="en-IN"/>
        </w:rPr>
        <w:t xml:space="preserve"> </w:t>
      </w:r>
      <w:r w:rsidRPr="00E43C52">
        <w:rPr>
          <w:rFonts w:asciiTheme="minorHAnsi" w:hAnsiTheme="minorHAnsi" w:cstheme="minorHAnsi"/>
          <w:sz w:val="32"/>
          <w:szCs w:val="32"/>
          <w:lang w:val="en-IN"/>
        </w:rPr>
        <w:t>Displays how the cumulative inflation burden is shared among different regions, helping to pinpoint systemic regional issues.</w:t>
      </w:r>
    </w:p>
    <w:p w14:paraId="7EF69269" w14:textId="77777777" w:rsidR="00B635F9" w:rsidRPr="009018FC" w:rsidRDefault="00B635F9" w:rsidP="00B635F9">
      <w:pPr>
        <w:tabs>
          <w:tab w:val="left" w:pos="1850"/>
        </w:tabs>
        <w:spacing w:before="7" w:line="264" w:lineRule="auto"/>
        <w:ind w:right="1611"/>
        <w:rPr>
          <w:rFonts w:asciiTheme="minorHAnsi" w:hAnsiTheme="minorHAnsi" w:cstheme="minorHAnsi"/>
          <w:sz w:val="32"/>
          <w:szCs w:val="32"/>
        </w:rPr>
      </w:pPr>
    </w:p>
    <w:p w14:paraId="5E6246D6" w14:textId="77777777" w:rsidR="00B635F9" w:rsidRPr="009018FC" w:rsidRDefault="00B635F9" w:rsidP="00B635F9">
      <w:pPr>
        <w:tabs>
          <w:tab w:val="left" w:pos="1850"/>
        </w:tabs>
        <w:spacing w:before="7" w:line="264" w:lineRule="auto"/>
        <w:ind w:right="1611"/>
        <w:rPr>
          <w:rFonts w:asciiTheme="minorHAnsi" w:hAnsiTheme="minorHAnsi" w:cstheme="minorHAnsi"/>
          <w:sz w:val="32"/>
          <w:szCs w:val="32"/>
        </w:rPr>
      </w:pPr>
    </w:p>
    <w:p w14:paraId="09610CF7" w14:textId="77777777" w:rsidR="00B635F9" w:rsidRPr="009018FC" w:rsidRDefault="00B635F9" w:rsidP="00B635F9">
      <w:pPr>
        <w:tabs>
          <w:tab w:val="left" w:pos="1850"/>
        </w:tabs>
        <w:spacing w:before="7" w:line="264" w:lineRule="auto"/>
        <w:ind w:right="1611"/>
        <w:rPr>
          <w:rFonts w:asciiTheme="minorHAnsi" w:hAnsiTheme="minorHAnsi" w:cstheme="minorHAnsi"/>
          <w:sz w:val="32"/>
          <w:szCs w:val="32"/>
        </w:rPr>
      </w:pPr>
    </w:p>
    <w:p w14:paraId="5736C913" w14:textId="03EE91C6" w:rsidR="00B635F9" w:rsidRPr="009018FC" w:rsidRDefault="009018FC" w:rsidP="00B635F9">
      <w:pPr>
        <w:tabs>
          <w:tab w:val="left" w:pos="1850"/>
        </w:tabs>
        <w:spacing w:before="7" w:line="264" w:lineRule="auto"/>
        <w:ind w:right="1611"/>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725B1193" wp14:editId="4564F784">
            <wp:extent cx="7292340" cy="3838914"/>
            <wp:effectExtent l="0" t="0" r="3810" b="9525"/>
            <wp:docPr id="1862133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33481" name="Picture 1862133481"/>
                    <pic:cNvPicPr/>
                  </pic:nvPicPr>
                  <pic:blipFill>
                    <a:blip r:embed="rId8">
                      <a:extLst>
                        <a:ext uri="{28A0092B-C50C-407E-A947-70E740481C1C}">
                          <a14:useLocalDpi xmlns:a14="http://schemas.microsoft.com/office/drawing/2010/main" val="0"/>
                        </a:ext>
                      </a:extLst>
                    </a:blip>
                    <a:stretch>
                      <a:fillRect/>
                    </a:stretch>
                  </pic:blipFill>
                  <pic:spPr>
                    <a:xfrm>
                      <a:off x="0" y="0"/>
                      <a:ext cx="7295309" cy="3840477"/>
                    </a:xfrm>
                    <a:prstGeom prst="rect">
                      <a:avLst/>
                    </a:prstGeom>
                  </pic:spPr>
                </pic:pic>
              </a:graphicData>
            </a:graphic>
          </wp:inline>
        </w:drawing>
      </w:r>
    </w:p>
    <w:p w14:paraId="2BBC9724" w14:textId="77777777" w:rsidR="00B635F9" w:rsidRPr="009018FC" w:rsidRDefault="00B635F9" w:rsidP="00B635F9">
      <w:pPr>
        <w:tabs>
          <w:tab w:val="left" w:pos="1850"/>
        </w:tabs>
        <w:spacing w:before="7" w:line="264" w:lineRule="auto"/>
        <w:ind w:right="1611"/>
        <w:rPr>
          <w:rFonts w:asciiTheme="minorHAnsi" w:hAnsiTheme="minorHAnsi" w:cstheme="minorHAnsi"/>
          <w:sz w:val="32"/>
          <w:szCs w:val="32"/>
        </w:rPr>
      </w:pPr>
    </w:p>
    <w:p w14:paraId="5DA9CB0C" w14:textId="77777777" w:rsidR="00B635F9" w:rsidRPr="009018FC" w:rsidRDefault="00B635F9" w:rsidP="00B635F9">
      <w:pPr>
        <w:tabs>
          <w:tab w:val="left" w:pos="1850"/>
        </w:tabs>
        <w:spacing w:before="7" w:line="264" w:lineRule="auto"/>
        <w:ind w:right="1611"/>
        <w:rPr>
          <w:rFonts w:asciiTheme="minorHAnsi" w:hAnsiTheme="minorHAnsi" w:cstheme="minorHAnsi"/>
          <w:sz w:val="32"/>
          <w:szCs w:val="32"/>
        </w:rPr>
      </w:pPr>
    </w:p>
    <w:p w14:paraId="78620E5E" w14:textId="77777777" w:rsidR="00B635F9" w:rsidRPr="009018FC" w:rsidRDefault="00B635F9" w:rsidP="00B635F9">
      <w:pPr>
        <w:tabs>
          <w:tab w:val="left" w:pos="1850"/>
        </w:tabs>
        <w:spacing w:before="7" w:line="264" w:lineRule="auto"/>
        <w:ind w:right="1611"/>
        <w:rPr>
          <w:rFonts w:asciiTheme="minorHAnsi" w:hAnsiTheme="minorHAnsi" w:cstheme="minorHAnsi"/>
          <w:sz w:val="32"/>
          <w:szCs w:val="32"/>
        </w:rPr>
      </w:pPr>
    </w:p>
    <w:p w14:paraId="50DF349A" w14:textId="77777777" w:rsidR="00B635F9" w:rsidRPr="009018FC" w:rsidRDefault="00B635F9" w:rsidP="00B635F9">
      <w:pPr>
        <w:tabs>
          <w:tab w:val="left" w:pos="1850"/>
        </w:tabs>
        <w:spacing w:before="7" w:line="264" w:lineRule="auto"/>
        <w:ind w:right="1611"/>
        <w:rPr>
          <w:rFonts w:asciiTheme="minorHAnsi" w:hAnsiTheme="minorHAnsi" w:cstheme="minorHAnsi"/>
          <w:sz w:val="32"/>
          <w:szCs w:val="32"/>
        </w:rPr>
      </w:pPr>
    </w:p>
    <w:p w14:paraId="6220B125" w14:textId="77777777" w:rsidR="00B635F9" w:rsidRPr="009018FC" w:rsidRDefault="00B635F9" w:rsidP="00B635F9">
      <w:pPr>
        <w:tabs>
          <w:tab w:val="left" w:pos="1850"/>
        </w:tabs>
        <w:spacing w:before="7" w:line="264" w:lineRule="auto"/>
        <w:ind w:right="1611"/>
        <w:rPr>
          <w:rFonts w:asciiTheme="minorHAnsi" w:hAnsiTheme="minorHAnsi" w:cstheme="minorHAnsi"/>
          <w:sz w:val="32"/>
          <w:szCs w:val="32"/>
        </w:rPr>
      </w:pPr>
    </w:p>
    <w:sectPr w:rsidR="00B635F9" w:rsidRPr="009018FC">
      <w:pgSz w:w="12240" w:h="15840"/>
      <w:pgMar w:top="1280" w:right="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66A6A"/>
    <w:multiLevelType w:val="multilevel"/>
    <w:tmpl w:val="7586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328C6"/>
    <w:multiLevelType w:val="multilevel"/>
    <w:tmpl w:val="FB3486D0"/>
    <w:lvl w:ilvl="0">
      <w:start w:val="1"/>
      <w:numFmt w:val="bullet"/>
      <w:lvlText w:val=""/>
      <w:lvlJc w:val="left"/>
      <w:pPr>
        <w:tabs>
          <w:tab w:val="num" w:pos="2203"/>
        </w:tabs>
        <w:ind w:left="2203"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E14CE"/>
    <w:multiLevelType w:val="multilevel"/>
    <w:tmpl w:val="D0A8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035C0"/>
    <w:multiLevelType w:val="multilevel"/>
    <w:tmpl w:val="8116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62140"/>
    <w:multiLevelType w:val="multilevel"/>
    <w:tmpl w:val="97120A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A13F0"/>
    <w:multiLevelType w:val="multilevel"/>
    <w:tmpl w:val="1E8A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967495"/>
    <w:multiLevelType w:val="multilevel"/>
    <w:tmpl w:val="97120A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DF75F2"/>
    <w:multiLevelType w:val="hybridMultilevel"/>
    <w:tmpl w:val="0B38E174"/>
    <w:lvl w:ilvl="0" w:tplc="E158A66E">
      <w:start w:val="1"/>
      <w:numFmt w:val="decimal"/>
      <w:lvlText w:val="%1."/>
      <w:lvlJc w:val="left"/>
      <w:pPr>
        <w:ind w:left="1348" w:hanging="176"/>
      </w:pPr>
      <w:rPr>
        <w:rFonts w:ascii="Calibri" w:eastAsia="Calibri" w:hAnsi="Calibri" w:cs="Calibri" w:hint="default"/>
        <w:b/>
        <w:bCs/>
        <w:i w:val="0"/>
        <w:iCs w:val="0"/>
        <w:spacing w:val="0"/>
        <w:w w:val="99"/>
        <w:sz w:val="20"/>
        <w:szCs w:val="20"/>
        <w:lang w:val="en-US" w:eastAsia="en-US" w:bidi="ar-SA"/>
      </w:rPr>
    </w:lvl>
    <w:lvl w:ilvl="1" w:tplc="3A460BFC">
      <w:numFmt w:val="bullet"/>
      <w:lvlText w:val=""/>
      <w:lvlJc w:val="left"/>
      <w:pPr>
        <w:ind w:left="1850" w:hanging="339"/>
      </w:pPr>
      <w:rPr>
        <w:rFonts w:ascii="Symbol" w:eastAsia="Symbol" w:hAnsi="Symbol" w:cs="Symbol" w:hint="default"/>
        <w:spacing w:val="0"/>
        <w:w w:val="102"/>
        <w:lang w:val="en-US" w:eastAsia="en-US" w:bidi="ar-SA"/>
      </w:rPr>
    </w:lvl>
    <w:lvl w:ilvl="2" w:tplc="29809EFE">
      <w:numFmt w:val="bullet"/>
      <w:lvlText w:val="•"/>
      <w:lvlJc w:val="left"/>
      <w:pPr>
        <w:ind w:left="2973" w:hanging="339"/>
      </w:pPr>
      <w:rPr>
        <w:rFonts w:hint="default"/>
        <w:lang w:val="en-US" w:eastAsia="en-US" w:bidi="ar-SA"/>
      </w:rPr>
    </w:lvl>
    <w:lvl w:ilvl="3" w:tplc="E938B1C4">
      <w:numFmt w:val="bullet"/>
      <w:lvlText w:val="•"/>
      <w:lvlJc w:val="left"/>
      <w:pPr>
        <w:ind w:left="4086" w:hanging="339"/>
      </w:pPr>
      <w:rPr>
        <w:rFonts w:hint="default"/>
        <w:lang w:val="en-US" w:eastAsia="en-US" w:bidi="ar-SA"/>
      </w:rPr>
    </w:lvl>
    <w:lvl w:ilvl="4" w:tplc="54941BE8">
      <w:numFmt w:val="bullet"/>
      <w:lvlText w:val="•"/>
      <w:lvlJc w:val="left"/>
      <w:pPr>
        <w:ind w:left="5200" w:hanging="339"/>
      </w:pPr>
      <w:rPr>
        <w:rFonts w:hint="default"/>
        <w:lang w:val="en-US" w:eastAsia="en-US" w:bidi="ar-SA"/>
      </w:rPr>
    </w:lvl>
    <w:lvl w:ilvl="5" w:tplc="E10E9A24">
      <w:numFmt w:val="bullet"/>
      <w:lvlText w:val="•"/>
      <w:lvlJc w:val="left"/>
      <w:pPr>
        <w:ind w:left="6313" w:hanging="339"/>
      </w:pPr>
      <w:rPr>
        <w:rFonts w:hint="default"/>
        <w:lang w:val="en-US" w:eastAsia="en-US" w:bidi="ar-SA"/>
      </w:rPr>
    </w:lvl>
    <w:lvl w:ilvl="6" w:tplc="F8DCA46C">
      <w:numFmt w:val="bullet"/>
      <w:lvlText w:val="•"/>
      <w:lvlJc w:val="left"/>
      <w:pPr>
        <w:ind w:left="7426" w:hanging="339"/>
      </w:pPr>
      <w:rPr>
        <w:rFonts w:hint="default"/>
        <w:lang w:val="en-US" w:eastAsia="en-US" w:bidi="ar-SA"/>
      </w:rPr>
    </w:lvl>
    <w:lvl w:ilvl="7" w:tplc="73C24BA6">
      <w:numFmt w:val="bullet"/>
      <w:lvlText w:val="•"/>
      <w:lvlJc w:val="left"/>
      <w:pPr>
        <w:ind w:left="8540" w:hanging="339"/>
      </w:pPr>
      <w:rPr>
        <w:rFonts w:hint="default"/>
        <w:lang w:val="en-US" w:eastAsia="en-US" w:bidi="ar-SA"/>
      </w:rPr>
    </w:lvl>
    <w:lvl w:ilvl="8" w:tplc="9B967136">
      <w:numFmt w:val="bullet"/>
      <w:lvlText w:val="•"/>
      <w:lvlJc w:val="left"/>
      <w:pPr>
        <w:ind w:left="9653" w:hanging="339"/>
      </w:pPr>
      <w:rPr>
        <w:rFonts w:hint="default"/>
        <w:lang w:val="en-US" w:eastAsia="en-US" w:bidi="ar-SA"/>
      </w:rPr>
    </w:lvl>
  </w:abstractNum>
  <w:abstractNum w:abstractNumId="8" w15:restartNumberingAfterBreak="0">
    <w:nsid w:val="5D710BFA"/>
    <w:multiLevelType w:val="hybridMultilevel"/>
    <w:tmpl w:val="365836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1D37666"/>
    <w:multiLevelType w:val="multilevel"/>
    <w:tmpl w:val="8660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290720">
    <w:abstractNumId w:val="7"/>
  </w:num>
  <w:num w:numId="2" w16cid:durableId="328364507">
    <w:abstractNumId w:val="1"/>
  </w:num>
  <w:num w:numId="3" w16cid:durableId="761994681">
    <w:abstractNumId w:val="4"/>
  </w:num>
  <w:num w:numId="4" w16cid:durableId="1345669073">
    <w:abstractNumId w:val="0"/>
  </w:num>
  <w:num w:numId="5" w16cid:durableId="1818304729">
    <w:abstractNumId w:val="9"/>
  </w:num>
  <w:num w:numId="6" w16cid:durableId="17897608">
    <w:abstractNumId w:val="8"/>
  </w:num>
  <w:num w:numId="7" w16cid:durableId="2124183965">
    <w:abstractNumId w:val="6"/>
  </w:num>
  <w:num w:numId="8" w16cid:durableId="1168980913">
    <w:abstractNumId w:val="3"/>
  </w:num>
  <w:num w:numId="9" w16cid:durableId="1691180798">
    <w:abstractNumId w:val="5"/>
  </w:num>
  <w:num w:numId="10" w16cid:durableId="1231581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377"/>
    <w:rsid w:val="005E0949"/>
    <w:rsid w:val="0078291F"/>
    <w:rsid w:val="009018FC"/>
    <w:rsid w:val="00B635F9"/>
    <w:rsid w:val="00E43C52"/>
    <w:rsid w:val="00F16197"/>
    <w:rsid w:val="00FA53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5CFCD"/>
  <w15:docId w15:val="{6E747946-8D55-4DE2-B354-2291AF3C4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401" w:hanging="228"/>
      <w:outlineLvl w:val="0"/>
    </w:pPr>
    <w:rPr>
      <w:b/>
      <w:bCs/>
    </w:rPr>
  </w:style>
  <w:style w:type="paragraph" w:styleId="Heading2">
    <w:name w:val="heading 2"/>
    <w:basedOn w:val="Normal"/>
    <w:next w:val="Normal"/>
    <w:link w:val="Heading2Char"/>
    <w:uiPriority w:val="9"/>
    <w:semiHidden/>
    <w:unhideWhenUsed/>
    <w:qFormat/>
    <w:rsid w:val="0078291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6"/>
      <w:ind w:right="370"/>
      <w:jc w:val="center"/>
    </w:pPr>
    <w:rPr>
      <w:rFonts w:ascii="Cambria" w:eastAsia="Cambria" w:hAnsi="Cambria" w:cs="Cambria"/>
      <w:b/>
      <w:bCs/>
      <w:sz w:val="30"/>
      <w:szCs w:val="30"/>
    </w:rPr>
  </w:style>
  <w:style w:type="paragraph" w:styleId="ListParagraph">
    <w:name w:val="List Paragraph"/>
    <w:basedOn w:val="Normal"/>
    <w:uiPriority w:val="1"/>
    <w:qFormat/>
    <w:pPr>
      <w:ind w:left="1850" w:hanging="339"/>
    </w:pPr>
  </w:style>
  <w:style w:type="paragraph" w:customStyle="1" w:styleId="TableParagraph">
    <w:name w:val="Table Paragraph"/>
    <w:basedOn w:val="Normal"/>
    <w:uiPriority w:val="1"/>
    <w:qFormat/>
    <w:pPr>
      <w:ind w:left="103"/>
    </w:pPr>
    <w:rPr>
      <w:rFonts w:ascii="Arial MT" w:eastAsia="Arial MT" w:hAnsi="Arial MT" w:cs="Arial MT"/>
    </w:rPr>
  </w:style>
  <w:style w:type="character" w:customStyle="1" w:styleId="Heading2Char">
    <w:name w:val="Heading 2 Char"/>
    <w:basedOn w:val="DefaultParagraphFont"/>
    <w:link w:val="Heading2"/>
    <w:uiPriority w:val="9"/>
    <w:semiHidden/>
    <w:rsid w:val="0078291F"/>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580</Words>
  <Characters>3308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Microsoft Word - Report Design Template</vt:lpstr>
    </vt:vector>
  </TitlesOfParts>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 Design Template</dc:title>
  <dc:creator>Akshu DS</dc:creator>
  <cp:lastModifiedBy>Uddipta Pal</cp:lastModifiedBy>
  <cp:revision>2</cp:revision>
  <dcterms:created xsi:type="dcterms:W3CDTF">2026-01-18T13:41:00Z</dcterms:created>
  <dcterms:modified xsi:type="dcterms:W3CDTF">2026-01-18T13:41:00Z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LastSaved">
    <vt:filetime>2026-01-18T00:00:00Z</vt:filetime>
  </property>
  <property fmtid="{D5CDD505-2E9C-101B-9397-08002B2CF9AE}" pid="4" name="Producer">
    <vt:lpwstr>Microsoft: Print To PDF</vt:lpwstr>
  </property>
</Properties>
</file>