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Letter of engagement</w:t>
      </w:r>
    </w:p>
    <w:p>
      <w:r>
        <w:t>Addressed to: the Directors, Acme</w:t>
      </w:r>
      <w:r>
        <w:br/>
      </w:r>
      <w:r>
        <w:t>Holdings (UK) Limited, 14 Princess Street, Manchester M2 4DN</w:t>
      </w:r>
    </w:p>
    <w:p>
      <w:r>
        <w:t>This letter sets out the terms on which we will act for Acme Holdings (UK) Limited ("the Company"). The Company has appointed Olivia Hartley as its main contact. Ms Hartley will be supported by Tomasz Nowak. Olivia confirmed the scope on 12 September.</w:t>
      </w:r>
    </w:p>
    <w:p>
      <w:r>
        <w:t>Self assessment: the Company's director, Tomasz Nowak, has UTR 73521 90462 and National Insurance number JG 10 37 22 B. Nowak will provide his P60 by 31 January.</w:t>
      </w:r>
    </w:p>
    <w:p>
      <w:r>
        <w:t>Fees will be collected from the Company's account, IBAN GB82 WEST 1234 5698 7654 32. Card payments for disbursements may be taken on the corporate card 4111 1111 1111 1111. Remote access to the CloudLedger Pro ledger will be from IP 192.0.2.17 only.</w:t>
      </w:r>
    </w:p>
    <w:p>
      <w:r>
        <w:t>Appendix A sets out the services for Project Falcon. Appendix B lists the Pennine Valley Logistics Ltd subcontract (PVL) - client reference CL-582910.</w:t>
      </w:r>
    </w:p>
    <w:p>
      <w:r>
        <w:t>Signed: Olivia Hartley, for and on behalf of Acme UK</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BDO Template -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dc:title>
  <dc:subject/>
  <dc:creator>Olivia Hartley</dc:creator>
  <cp:keywords/>
  <dc:description>Draft prepared by Olivia Hartley</dc:description>
  <cp:lastModifiedBy>Olivia Hartley</cp:lastModifiedBy>
  <cp:revision>1</cp:revision>
  <dcterms:created xsi:type="dcterms:W3CDTF">2013-12-23T23:15:00Z</dcterms:created>
  <dcterms:modified xsi:type="dcterms:W3CDTF">2013-12-23T23:15:00Z</dcterms:modified>
  <cp:category/>
</cp:coreProperties>
</file>