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Business Report</w:t>
      </w:r>
    </w:p>
    <w:p>
      <w:pPr>
        <w:pStyle w:val="Heading1"/>
      </w:pPr>
      <w:r>
        <w:t>Executive Summary</w:t>
      </w:r>
    </w:p>
    <w:p>
      <w:r>
        <w:t>This report summarizes our performance for the third quarter, covering financial results, regional performance, and forward-looking guidance.</w:t>
      </w:r>
    </w:p>
    <w:p>
      <w:pPr>
        <w:pStyle w:val="Heading1"/>
      </w:pPr>
      <w:r>
        <w:t>Financial Highlights</w:t>
      </w:r>
    </w:p>
    <w:p>
      <w:r>
        <w:t>Revenue grew 12% YoY, driven primarily by APAC expansion and improved cost discipline, positioning us ahead of our closest competitor.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 (current period)</w:t>
            </w:r>
          </w:p>
        </w:tc>
        <w:tc>
          <w:tcPr>
            <w:tcW w:type="dxa" w:w="4320"/>
          </w:tcPr>
          <w:p>
            <w:r>
              <w:t>$112M</w:t>
            </w:r>
          </w:p>
        </w:tc>
      </w:tr>
      <w:tr>
        <w:tc>
          <w:tcPr>
            <w:tcW w:type="dxa" w:w="4320"/>
          </w:tcPr>
          <w:p>
            <w:r>
              <w:t>Revenue (prior period)</w:t>
            </w:r>
          </w:p>
        </w:tc>
        <w:tc>
          <w:tcPr>
            <w:tcW w:type="dxa" w:w="4320"/>
          </w:tcPr>
          <w:p>
            <w:r>
              <w:t>$100M</w:t>
            </w:r>
          </w:p>
        </w:tc>
      </w:tr>
    </w:tbl>
    <w:p>
      <w:pPr>
        <w:pStyle w:val="Heading1"/>
      </w:pPr>
      <w:r>
        <w:t>Outlook</w:t>
      </w:r>
    </w:p>
    <w:p>
      <w:r>
        <w:t>We expect continued momentum into the fourth quarter, subject to macroeconomic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