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NovaBridge Solutions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ISO 27001:2022 Compliance Control Matrix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Project 1 of 7 | GRC Portfolio | Prepared by: Udeme | Date: May 2026</w:t>
      </w:r>
    </w:p>
    <w:p>
      <w:pPr>
        <w:pBdr>
          <w:bottom w:val="single" w:color="1F4E79" w:sz="6" w:space="1"/>
        </w:pBdr>
        <w:spacing w:after="240" w:before="0"/>
      </w:pPr>
    </w:p>
    <w:p>
      <w:pPr>
        <w:pStyle w:val="Heading1"/>
      </w:pPr>
      <w:r>
        <w:t xml:space="preserve">Scope &amp; Compliance Goal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Organization: </w:t>
      </w:r>
      <w:r>
        <w:rPr>
          <w:rFonts w:ascii="Arial" w:cs="Arial" w:eastAsia="Arial" w:hAnsi="Arial"/>
          <w:sz w:val="22"/>
          <w:szCs w:val="22"/>
        </w:rPr>
        <w:t xml:space="preserve">NovaBridge Solutions — A 250-employee federal health IT contractor providing EHR integration and cloud data services to HHS and VA agencies.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Scope: </w:t>
      </w:r>
      <w:r>
        <w:rPr>
          <w:rFonts w:ascii="Arial" w:cs="Arial" w:eastAsia="Arial" w:hAnsi="Arial"/>
          <w:sz w:val="22"/>
          <w:szCs w:val="22"/>
        </w:rPr>
        <w:t xml:space="preserve">All information assets supporting federal health data processing: AWS GovCloud production environment, corporate endpoints (230 devices), SaaS tools (Microsoft 365, ServiceNow, Salesforce), and physical HQ in Hyattsville, MD.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Compliance Goal: </w:t>
      </w:r>
      <w:r>
        <w:rPr>
          <w:rFonts w:ascii="Arial" w:cs="Arial" w:eastAsia="Arial" w:hAnsi="Arial"/>
          <w:sz w:val="22"/>
          <w:szCs w:val="22"/>
        </w:rPr>
        <w:t xml:space="preserve">Achieve ISO 27001:2022 certification by Q1 2027 to meet contractual obligations with federal clients and strengthen posture ahead of CMMC Level 2 assessment.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Legend: </w:t>
      </w:r>
      <w:r>
        <w:rPr>
          <w:rFonts w:ascii="Arial" w:cs="Arial" w:eastAsia="Arial" w:hAnsi="Arial"/>
          <w:sz w:val="22"/>
          <w:szCs w:val="22"/>
        </w:rPr>
        <w:t xml:space="preserve">Implemented (green) | In Progress (yellow) | Planned (red)</w:t>
      </w:r>
    </w:p>
    <w:p>
      <w:pPr>
        <w:pStyle w:val="Heading1"/>
      </w:pPr>
      <w:r>
        <w:t xml:space="preserve">Annex A Control Matrix (20 Controls)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700"/>
        <w:gridCol w:w="1700"/>
        <w:gridCol w:w="688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ID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Name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68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A.5.1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 Security Policy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CISO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 published, reviewed annually. Board-approved.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A.5.2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 Security Roles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CISO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Roles defined in org chart; RACI matrix documented.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A.6.1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Screening (HR)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Director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checks conducted pre-employment.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A.6.3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 Security Awareness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Director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training launched; 78% completion rate.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A.7.1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Security Perimeter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Facilities Mgr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access, CCTV at all entry points.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A.7.4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Security Monitoring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Facilities Mgr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24/7 monitoring; logs retained 90 days.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A.8.1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Endpoint Devices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Manager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MDM deployed; BYOD policy pending approval.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A.8.3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 Access Restriction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Manager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RBAC enforced in AD; quarterly access reviews.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A.8.5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 Authentication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Manager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MFA enforced on all critical systems.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A.8.7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Protection Against Malware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Manager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EDR deployed enterprise-wide; auto-updates enabled.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A.8.10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 Deletion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Manager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retention policy drafted; tool procurement Q3.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A.8.12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Leakage Prevention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Manager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DLP solution evaluation in progress.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A.8.15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Manager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SIEM deployed; log coverage 85%; gaps in OT.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A.8.16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 Activities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 Lead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Alerts tuned; IR runbooks 60% complete.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A.8.24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of Cryptography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Manager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TLS 1.2+ enforced; encryption policy approved.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A.8.28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 Coding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 Manager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SAST tool selected; developer training Q4.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A.8.32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Management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Mgr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CAB process active; change tickets in ServiceNow.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A.5.29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 Security During Disruption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CISO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BCP drafted; DR tabletop scheduled Q2.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A.5.30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ICT Readiness for Business Continuity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CISO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ICT recovery targets defined; testing Q3.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A.5.35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Independent Review of 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Audit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internal audit scheduled; scope defined.</w:t>
            </w:r>
          </w:p>
        </w:tc>
      </w:tr>
    </w:tbl>
    <w:p>
      <w:pPr>
        <w:spacing w:after="100" w:before="300"/>
      </w:pPr>
    </w:p>
    <w:p>
      <w:pPr>
        <w:pStyle w:val="Heading2"/>
      </w:pPr>
      <w:r>
        <w:t xml:space="preserve">Control Coverage Summary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Next Steps: </w:t>
      </w:r>
      <w:r>
        <w:rPr>
          <w:rFonts w:ascii="Arial" w:cs="Arial" w:eastAsia="Arial" w:hAnsi="Arial"/>
          <w:sz w:val="22"/>
          <w:szCs w:val="22"/>
        </w:rPr>
        <w:t xml:space="preserve">Prioritize closure of DLP (A.8.12) and Secure Coding (A.8.28) gaps by Q3 2026. Schedule DR tabletop exercise (A.5.29) and engage external auditor for gap assessment in Q4 2026.</w:t>
      </w:r>
    </w:p>
    <w:p>
      <w:pPr>
        <w:spacing w:after="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Resume Bullet: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Developed ISO 27001:2022 compliance matrix for federal health IT contractor; mapped 20 Annex A controls, identified 4 critical gaps, and assigned remediation owners with target dates.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2026-05-06T04:35:28.538Z</dcterms:created>
  <dcterms:modified xsi:type="dcterms:W3CDTF">2026-05-06T04:35:28.538Z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