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7B2D00"/>
          <w:sz w:val="36"/>
          <w:szCs w:val="36"/>
        </w:rPr>
        <w:t xml:space="preserve">NovaBridge Solutions</w:t>
      </w:r>
    </w:p>
    <w:p>
      <w:pPr>
        <w:spacing w:after="80"/>
        <w:jc w:val="center"/>
      </w:pPr>
      <w:r>
        <w:rPr>
          <w:rFonts w:ascii="Arial" w:cs="Arial" w:eastAsia="Arial" w:hAnsi="Arial"/>
          <w:b/>
          <w:bCs/>
          <w:color w:val="C0392B"/>
          <w:sz w:val="28"/>
          <w:szCs w:val="28"/>
        </w:rPr>
        <w:t xml:space="preserve">Enterprise Risk Register — Healthcare &amp; Federal IT</w:t>
      </w:r>
    </w:p>
    <w:p>
      <w:pPr>
        <w:spacing w:after="80"/>
        <w:jc w:val="center"/>
      </w:pPr>
      <w:r>
        <w:rPr>
          <w:rFonts w:ascii="Arial" w:cs="Arial" w:eastAsia="Arial" w:hAnsi="Arial"/>
          <w:i/>
          <w:iCs/>
          <w:color w:val="595959"/>
          <w:sz w:val="20"/>
          <w:szCs w:val="20"/>
        </w:rPr>
        <w:t xml:space="preserve">Project 2 of 7 | GRC Portfolio | Prepared by: Udeme | May 2026 | Framework: ISO 31000 / NIST RMF</w:t>
      </w:r>
    </w:p>
    <w:p>
      <w:pPr>
        <w:pBdr>
          <w:bottom w:val="single" w:color="7B2D00" w:sz="6" w:space="1"/>
        </w:pBdr>
        <w:spacing w:after="240"/>
      </w:pPr>
    </w:p>
    <w:p>
      <w:pPr>
        <w:pStyle w:val="Heading1"/>
      </w:pPr>
      <w:r>
        <w:t xml:space="preserve">Risk Register (12 Risks)</w:t>
      </w:r>
    </w:p>
    <w:p>
      <w:pPr>
        <w:spacing w:after="160"/>
      </w:pPr>
      <w:r>
        <w:rPr>
          <w:rFonts w:ascii="Arial" w:cs="Arial" w:eastAsia="Arial" w:hAnsi="Arial"/>
          <w:sz w:val="20"/>
          <w:szCs w:val="20"/>
        </w:rPr>
        <w:t xml:space="preserve">Risk Score = Likelihood × Impact | Heat Map: </w:t>
      </w:r>
      <w:r>
        <w:rPr>
          <w:rFonts w:ascii="Arial" w:cs="Arial" w:eastAsia="Arial" w:hAnsi="Arial"/>
          <w:b/>
          <w:bCs/>
          <w:color w:val="C0392B"/>
          <w:sz w:val="20"/>
          <w:szCs w:val="20"/>
        </w:rPr>
        <w:t xml:space="preserve">High ≥12 (red)  </w:t>
      </w:r>
      <w:r>
        <w:rPr>
          <w:rFonts w:ascii="Arial" w:cs="Arial" w:eastAsia="Arial" w:hAnsi="Arial"/>
          <w:b/>
          <w:bCs/>
          <w:color w:val="856404"/>
          <w:sz w:val="20"/>
          <w:szCs w:val="20"/>
        </w:rPr>
        <w:t xml:space="preserve">Medium 6-11 (yellow)  </w:t>
      </w:r>
      <w:r>
        <w:rPr>
          <w:rFonts w:ascii="Arial" w:cs="Arial" w:eastAsia="Arial" w:hAnsi="Arial"/>
          <w:b/>
          <w:bCs/>
          <w:color w:val="276221"/>
          <w:sz w:val="20"/>
          <w:szCs w:val="20"/>
        </w:rPr>
        <w:t xml:space="preserve">Low ≤5 (green)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200"/>
        <w:gridCol w:w="800"/>
        <w:gridCol w:w="800"/>
        <w:gridCol w:w="800"/>
        <w:gridCol w:w="900"/>
        <w:gridCol w:w="2800"/>
        <w:gridCol w:w="1300"/>
        <w:gridCol w:w="900"/>
        <w:gridCol w:w="980"/>
      </w:tblGrid>
      <w:tr>
        <w:trPr>
          <w:tblHeader/>
        </w:trPr>
        <w:tc>
          <w:tcPr>
            <w:tcW w:type="dxa" w:w="800"/>
            <w:tcBorders>
              <w:top w:val="single" w:color="7B2D00" w:sz="1"/>
              <w:left w:val="single" w:color="7B2D00" w:sz="1"/>
              <w:bottom w:val="single" w:color="7B2D00" w:sz="1"/>
              <w:right w:val="single" w:color="7B2D00" w:sz="1"/>
            </w:tcBorders>
            <w:shd w:fill="7B2D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ID</w:t>
            </w:r>
          </w:p>
        </w:tc>
        <w:tc>
          <w:tcPr>
            <w:tcW w:type="dxa" w:w="2400"/>
            <w:tcBorders>
              <w:top w:val="single" w:color="7B2D00" w:sz="1"/>
              <w:left w:val="single" w:color="7B2D00" w:sz="1"/>
              <w:bottom w:val="single" w:color="7B2D00" w:sz="1"/>
              <w:right w:val="single" w:color="7B2D00" w:sz="1"/>
            </w:tcBorders>
            <w:shd w:fill="7B2D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200"/>
            <w:tcBorders>
              <w:top w:val="single" w:color="7B2D00" w:sz="1"/>
              <w:left w:val="single" w:color="7B2D00" w:sz="1"/>
              <w:bottom w:val="single" w:color="7B2D00" w:sz="1"/>
              <w:right w:val="single" w:color="7B2D00" w:sz="1"/>
            </w:tcBorders>
            <w:shd w:fill="7B2D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800"/>
            <w:tcBorders>
              <w:top w:val="single" w:color="7B2D00" w:sz="1"/>
              <w:left w:val="single" w:color="7B2D00" w:sz="1"/>
              <w:bottom w:val="single" w:color="7B2D00" w:sz="1"/>
              <w:right w:val="single" w:color="7B2D00" w:sz="1"/>
            </w:tcBorders>
            <w:shd w:fill="7B2D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Likelihood (1-5)</w:t>
            </w:r>
          </w:p>
        </w:tc>
        <w:tc>
          <w:tcPr>
            <w:tcW w:type="dxa" w:w="800"/>
            <w:tcBorders>
              <w:top w:val="single" w:color="7B2D00" w:sz="1"/>
              <w:left w:val="single" w:color="7B2D00" w:sz="1"/>
              <w:bottom w:val="single" w:color="7B2D00" w:sz="1"/>
              <w:right w:val="single" w:color="7B2D00" w:sz="1"/>
            </w:tcBorders>
            <w:shd w:fill="7B2D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 (1-5)</w:t>
            </w:r>
          </w:p>
        </w:tc>
        <w:tc>
          <w:tcPr>
            <w:tcW w:type="dxa" w:w="800"/>
            <w:tcBorders>
              <w:top w:val="single" w:color="7B2D00" w:sz="1"/>
              <w:left w:val="single" w:color="7B2D00" w:sz="1"/>
              <w:bottom w:val="single" w:color="7B2D00" w:sz="1"/>
              <w:right w:val="single" w:color="7B2D00" w:sz="1"/>
            </w:tcBorders>
            <w:shd w:fill="7B2D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w:t>
            </w:r>
          </w:p>
        </w:tc>
        <w:tc>
          <w:tcPr>
            <w:tcW w:type="dxa" w:w="900"/>
            <w:tcBorders>
              <w:top w:val="single" w:color="7B2D00" w:sz="1"/>
              <w:left w:val="single" w:color="7B2D00" w:sz="1"/>
              <w:bottom w:val="single" w:color="7B2D00" w:sz="1"/>
              <w:right w:val="single" w:color="7B2D00" w:sz="1"/>
            </w:tcBorders>
            <w:shd w:fill="7B2D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Rating</w:t>
            </w:r>
          </w:p>
        </w:tc>
        <w:tc>
          <w:tcPr>
            <w:tcW w:type="dxa" w:w="2800"/>
            <w:tcBorders>
              <w:top w:val="single" w:color="7B2D00" w:sz="1"/>
              <w:left w:val="single" w:color="7B2D00" w:sz="1"/>
              <w:bottom w:val="single" w:color="7B2D00" w:sz="1"/>
              <w:right w:val="single" w:color="7B2D00" w:sz="1"/>
            </w:tcBorders>
            <w:shd w:fill="7B2D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Mitigation Strategy</w:t>
            </w:r>
          </w:p>
        </w:tc>
        <w:tc>
          <w:tcPr>
            <w:tcW w:type="dxa" w:w="1300"/>
            <w:tcBorders>
              <w:top w:val="single" w:color="7B2D00" w:sz="1"/>
              <w:left w:val="single" w:color="7B2D00" w:sz="1"/>
              <w:bottom w:val="single" w:color="7B2D00" w:sz="1"/>
              <w:right w:val="single" w:color="7B2D00" w:sz="1"/>
            </w:tcBorders>
            <w:shd w:fill="7B2D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Owner</w:t>
            </w:r>
          </w:p>
        </w:tc>
        <w:tc>
          <w:tcPr>
            <w:tcW w:type="dxa" w:w="900"/>
            <w:tcBorders>
              <w:top w:val="single" w:color="7B2D00" w:sz="1"/>
              <w:left w:val="single" w:color="7B2D00" w:sz="1"/>
              <w:bottom w:val="single" w:color="7B2D00" w:sz="1"/>
              <w:right w:val="single" w:color="7B2D00" w:sz="1"/>
            </w:tcBorders>
            <w:shd w:fill="7B2D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Residual Score</w:t>
            </w:r>
          </w:p>
        </w:tc>
        <w:tc>
          <w:tcPr>
            <w:tcW w:type="dxa" w:w="980"/>
            <w:tcBorders>
              <w:top w:val="single" w:color="7B2D00" w:sz="1"/>
              <w:left w:val="single" w:color="7B2D00" w:sz="1"/>
              <w:bottom w:val="single" w:color="7B2D00" w:sz="1"/>
              <w:right w:val="single" w:color="7B2D00" w:sz="1"/>
            </w:tcBorders>
            <w:shd w:fill="7B2D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Review Date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Ransomware attack encrypts EHR systems and disrupts federal operations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Cybersecurity</w:t>
            </w:r>
          </w:p>
        </w:tc>
        <w:tc>
          <w:tcPr>
            <w:tcW w:type="dxa" w:w="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sz w:val="18"/>
                <w:szCs w:val="18"/>
              </w:rPr>
              <w:t xml:space="preserve">5</w:t>
            </w:r>
          </w:p>
        </w:tc>
        <w:tc>
          <w:tcPr>
            <w:tcW w:type="dxa" w:w="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sz w:val="18"/>
                <w:szCs w:val="18"/>
              </w:rPr>
              <w:t xml:space="preserve">20</w:t>
            </w:r>
          </w:p>
        </w:tc>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sz w:val="18"/>
                <w:szCs w:val="18"/>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Deploy immutable backups; enforce MFA; segment OT/IT networks; run annual tabletops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CISO</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8</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Q3 2026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Unauthorized access to PHI due to misconfigured AWS S3 bucket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 Security</w:t>
            </w:r>
          </w:p>
        </w:tc>
        <w:tc>
          <w:tcPr>
            <w:tcW w:type="dxa" w:w="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sz w:val="18"/>
                <w:szCs w:val="18"/>
              </w:rPr>
              <w:t xml:space="preserve">3</w:t>
            </w:r>
          </w:p>
        </w:tc>
        <w:tc>
          <w:tcPr>
            <w:tcW w:type="dxa" w:w="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sz w:val="18"/>
                <w:szCs w:val="18"/>
              </w:rPr>
              <w:t xml:space="preserve">5</w:t>
            </w:r>
          </w:p>
        </w:tc>
        <w:tc>
          <w:tcPr>
            <w:tcW w:type="dxa" w:w="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sz w:val="18"/>
                <w:szCs w:val="18"/>
              </w:rPr>
              <w:t xml:space="preserve">15</w:t>
            </w:r>
          </w:p>
        </w:tc>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sz w:val="18"/>
                <w:szCs w:val="18"/>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 S3 Block Public Access policy; automated Prowler scans weekly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 Architect</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6</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Q3 2026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Credential reuse / phishing leads to privileged account compromise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Identity</w:t>
            </w:r>
          </w:p>
        </w:tc>
        <w:tc>
          <w:tcPr>
            <w:tcW w:type="dxa" w:w="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sz w:val="18"/>
                <w:szCs w:val="18"/>
              </w:rPr>
              <w:t xml:space="preserve">16</w:t>
            </w:r>
          </w:p>
        </w:tc>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sz w:val="18"/>
                <w:szCs w:val="18"/>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Enforce MFA + PAM solution; phishing simulation quarterly; security awareness training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 Manager</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6</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Q2 2026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Third-party vendor breach exposes NovaBridge client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Supply Chain</w:t>
            </w:r>
          </w:p>
        </w:tc>
        <w:tc>
          <w:tcPr>
            <w:tcW w:type="dxa" w:w="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sz w:val="18"/>
                <w:szCs w:val="18"/>
              </w:rPr>
              <w:t xml:space="preserve">3</w:t>
            </w:r>
          </w:p>
        </w:tc>
        <w:tc>
          <w:tcPr>
            <w:tcW w:type="dxa" w:w="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dxa" w:w="9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pPr>
              <w:jc w:val="center"/>
            </w:pPr>
            <w:r>
              <w:rPr>
                <w:rFonts w:ascii="Arial" w:cs="Arial" w:eastAsia="Arial" w:hAnsi="Arial"/>
                <w:sz w:val="18"/>
                <w:szCs w:val="18"/>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Annual vendor risk assessments; contractual security clauses; SOC 2 attestation required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GRC Analyst</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8</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Q4 2026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Insider threat — data exfiltration by privileged employee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Insider Threat</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5</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10</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DLP solution deployment; user activity monitoring; offboarding checklist enforced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HR + IT</w:t>
            </w:r>
          </w:p>
        </w:tc>
        <w:tc>
          <w:tcPr>
            <w:tcW w:type="dxa" w:w="9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Q3 2026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Unpatched vulnerability in web application exploited (OWASP Top 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Application Security</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3</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3</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9</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 vulnerability scans; SAST in CI/CD; penetration test annually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 Manager</w:t>
            </w:r>
          </w:p>
        </w:tc>
        <w:tc>
          <w:tcPr>
            <w:tcW w:type="dxa" w:w="9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Q2 2026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continuity failure during data center outage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Resilience</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8</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Multi-AZ AWS deployment; DR plan tested annually; RTO &lt; 4 hours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 Architect</w:t>
            </w:r>
          </w:p>
        </w:tc>
        <w:tc>
          <w:tcPr>
            <w:tcW w:type="dxa" w:w="9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sz w:val="18"/>
                <w:szCs w:val="18"/>
              </w:rPr>
              <w:t xml:space="preserve">3</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Q3 2026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HIPAA breach notification failure due to undocumented data flows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Compliance</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8</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flow mapping exercise; breach response SOP updated; legal review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Compliance Officer</w:t>
            </w:r>
          </w:p>
        </w:tc>
        <w:tc>
          <w:tcPr>
            <w:tcW w:type="dxa" w:w="9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Q2 2026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Shadow IT — unapproved SaaS tools processing regulated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Governance</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3</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3</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9</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 access security broker (CASB) evaluation; acceptable use policy refresh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 Manager</w:t>
            </w:r>
          </w:p>
        </w:tc>
        <w:tc>
          <w:tcPr>
            <w:tcW w:type="dxa" w:w="9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sz w:val="18"/>
                <w:szCs w:val="18"/>
              </w:rPr>
              <w:t xml:space="preserve">3</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Q4 2026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Physical theft of endpoint containing unencrypted federal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Physical</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8</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Full-disk encryption enforced via MDM; remote wipe capability; asset tagging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 Manager</w:t>
            </w:r>
          </w:p>
        </w:tc>
        <w:tc>
          <w:tcPr>
            <w:tcW w:type="dxa" w:w="9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Ongoing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DoS/DDoS attack disrupts client-facing portal availability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3</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6</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AWS Shield Standard; WAF rules configured; incident response runbook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 Architect</w:t>
            </w:r>
          </w:p>
        </w:tc>
        <w:tc>
          <w:tcPr>
            <w:tcW w:type="dxa" w:w="9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sz w:val="18"/>
                <w:szCs w:val="18"/>
              </w:rPr>
              <w:t xml:space="preserve">3</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Q3 2026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Inadequate logging prevents forensic investigation post-incident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Detection</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3</w:t>
            </w:r>
          </w:p>
        </w:tc>
        <w:tc>
          <w:tcPr>
            <w:tcW w:type="dxa" w:w="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6</w:t>
            </w:r>
          </w:p>
        </w:tc>
        <w:tc>
          <w:tcPr>
            <w:tcW w:type="dxa" w:w="9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Expand SIEM coverage to 100%; log retention 13 months per NIST 800-53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SOC Lead</w:t>
            </w:r>
          </w:p>
        </w:tc>
        <w:tc>
          <w:tcPr>
            <w:tcW w:type="dxa" w:w="9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Q2 2026</w:t>
            </w:r>
          </w:p>
        </w:tc>
      </w:tr>
    </w:tbl>
    <w:p>
      <w:pPr>
        <w:pStyle w:val="Heading1"/>
        <w:spacing w:before="400"/>
      </w:pPr>
      <w:r>
        <w:t xml:space="preserve">Risk Summary Report — Top 3 Risks</w:t>
      </w:r>
    </w:p>
    <w:p>
      <w:pPr>
        <w:pStyle w:val="Heading2"/>
      </w:pPr>
      <w:r>
        <w:t xml:space="preserve">1. R-003 | Credential Compromise via Phishing (Score: 16 — HIGH)</w:t>
      </w:r>
    </w:p>
    <w:p>
      <w:pPr>
        <w:spacing w:after="120"/>
      </w:pPr>
      <w:r>
        <w:rPr>
          <w:rFonts w:ascii="Arial" w:cs="Arial" w:eastAsia="Arial" w:hAnsi="Arial"/>
          <w:sz w:val="20"/>
          <w:szCs w:val="20"/>
        </w:rPr>
        <w:t xml:space="preserve">This is the highest-probability, highest-impact risk for NovaBridge. As a federal contractor with privileged access to HHS and VA systems, a single compromised admin credential could lead to lateral movement across federal networks. The threat actor landscape for healthcare IT contractors includes nation-state APTs and ransomware groups. Recommended immediate actions: enforce hardware MFA tokens for privileged users, deploy a PAM solution (e.g., CyberArk or BeyondTrust), and run monthly phishing simulations with mandatory remediation training.</w:t>
      </w:r>
    </w:p>
    <w:p>
      <w:pPr>
        <w:pStyle w:val="Heading2"/>
      </w:pPr>
      <w:r>
        <w:t xml:space="preserve">2. R-001 | Ransomware Attack on EHR Systems (Score: 20 — HIGH)</w:t>
      </w:r>
    </w:p>
    <w:p>
      <w:pPr>
        <w:spacing w:after="120"/>
      </w:pPr>
      <w:r>
        <w:rPr>
          <w:rFonts w:ascii="Arial" w:cs="Arial" w:eastAsia="Arial" w:hAnsi="Arial"/>
          <w:sz w:val="20"/>
          <w:szCs w:val="20"/>
        </w:rPr>
        <w:t xml:space="preserve">Ransomware targeting healthcare remains the #1 cause of major breach incidents. An attack on NovaBridge's EHR integration layer would directly disrupt care delivery for federal beneficiaries, triggering HIPAA breach notification requirements and potential federal contract termination. Business continuity depends on immutable, air-gapped backups and a tested incident response playbook with sub-4-hour RTO. Residual risk remains elevated until the DR tabletop exercise is completed.</w:t>
      </w:r>
    </w:p>
    <w:p>
      <w:pPr>
        <w:pStyle w:val="Heading2"/>
      </w:pPr>
      <w:r>
        <w:t xml:space="preserve">3. R-002 | Misconfigured AWS S3 Bucket Exposing PHI (Score: 15 — HIGH)</w:t>
      </w:r>
    </w:p>
    <w:p>
      <w:pPr>
        <w:spacing w:after="160"/>
      </w:pPr>
      <w:r>
        <w:rPr>
          <w:rFonts w:ascii="Arial" w:cs="Arial" w:eastAsia="Arial" w:hAnsi="Arial"/>
          <w:sz w:val="20"/>
          <w:szCs w:val="20"/>
        </w:rPr>
        <w:t xml:space="preserve">Cloud misconfiguration remains the leading cause of unintentional PHI exposure in health IT. NovaBridge operates 14 S3 buckets in AWS GovCloud; without automated posture management, a single misconfigured bucket can expose thousands of patient records. Immediate action: enable AWS Config rules, implement Prowler or AWS Security Hub for continuous misconfiguration detection, and enforce S3 Block Public Access at the account level.</w:t>
      </w:r>
    </w:p>
    <w:p>
      <w:pPr>
        <w:spacing w:after="0" w:before="100"/>
      </w:pPr>
      <w:r>
        <w:rPr>
          <w:rFonts w:ascii="Arial" w:cs="Arial" w:eastAsia="Arial" w:hAnsi="Arial"/>
          <w:b/>
          <w:bCs/>
          <w:color w:val="595959"/>
          <w:sz w:val="20"/>
          <w:szCs w:val="20"/>
        </w:rPr>
        <w:t xml:space="preserve">Resume Bullet: </w:t>
      </w:r>
      <w:r>
        <w:rPr>
          <w:rFonts w:ascii="Arial" w:cs="Arial" w:eastAsia="Arial" w:hAnsi="Arial"/>
          <w:i/>
          <w:iCs/>
          <w:color w:val="595959"/>
          <w:sz w:val="20"/>
          <w:szCs w:val="20"/>
        </w:rPr>
        <w:t xml:space="preserve">Built enterprise risk register with likelihood/impact scoring and heat map for federal health IT contractor; prioritized 4 critical risks and developed mitigation roadmap aligned to NIST RMF and ISO 31000.</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7B2D0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2026-05-06T04:36:28.247Z</dcterms:created>
  <dcterms:modified xsi:type="dcterms:W3CDTF">2026-05-06T04:36:28.247Z</dcterms:modified>
</cp:coreProperties>
</file>

<file path=docProps/custom.xml><?xml version="1.0" encoding="utf-8"?>
<Properties xmlns="http://schemas.openxmlformats.org/officeDocument/2006/custom-properties" xmlns:vt="http://schemas.openxmlformats.org/officeDocument/2006/docPropsVTypes"/>
</file>