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NovaBridge Solutions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88E3C"/>
          <w:sz w:val="30"/>
          <w:szCs w:val="30"/>
        </w:rPr>
        <w:t xml:space="preserve">Third-Party Vendor Security Assessment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Vendor Assessed: Microsoft (Microsoft 365 / Azure GovCloud) | Project 3 of 7 | GRC Portfolio | Prepared by: Udeme | May 2026</w:t>
      </w:r>
    </w:p>
    <w:p>
      <w:pPr>
        <w:pBdr>
          <w:bottom w:val="single" w:color="1B5E20" w:sz="6" w:space="1"/>
        </w:pBdr>
        <w:spacing w:after="240"/>
      </w:pPr>
    </w:p>
    <w:p>
      <w:pPr>
        <w:pStyle w:val="Heading1"/>
      </w:pPr>
      <w:r>
        <w:t xml:space="preserve">Vendor Risk Scorecard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Possible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Score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2"/>
                <w:szCs w:val="22"/>
              </w:rPr>
              <w:t xml:space="preserve">LOW RISK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Scoring: Yes (full compliance) = 2 | Partial = 1 | No = 0 | Criticality Weighting: All domains weighted equally (max 10 pts each)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— Strong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— Strong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— Strong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— Strong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— Strong</w:t>
            </w:r>
          </w:p>
        </w:tc>
      </w:tr>
    </w:tbl>
    <w:p>
      <w:pPr>
        <w:pStyle w:val="Heading1"/>
        <w:spacing w:before="400"/>
      </w:pPr>
      <w:r>
        <w:t xml:space="preserve">Full Security Questionnaire (25 Questions)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3200"/>
        <w:gridCol w:w="2000"/>
        <w:gridCol w:w="700"/>
        <w:gridCol w:w="5680"/>
      </w:tblGrid>
      <w:tr>
        <w:trPr>
          <w:tblHeader/>
        </w:trPr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your organization maintain a formal Information Security Policy reviewed at least annually?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Demonstrates executive commitment to security.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27001 policy published on vendor trust portal, last reviewed Jan 2026.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your organization achieved ISO 27001 or SOC 2 Type II certification?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 validated controls indicate mature security program.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2 Type II report available; attestation covers fiscal year 2025.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conduct annual security risk assessments?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assessments identify emerging risks before exploitation.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assessment process documented; last completed Oct 2025.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 dedicated security team or CISO in place?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Ensures accountability and ownership of the security program.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 role staffed; security team of 12 including SOC analysts.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have a formal vendor/subprocessor management policy?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Fourth-party risk must be understood and controlled.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Subprocessor list published; formal assessment program in progress.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multi-factor authentication (MFA) enforced for all remote and privileged access?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is the most effective control against credential-based attacks.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mandatory for all employees; hardware tokens for privileged users.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Role-Based Access Control (RBAC) implemented and reviewed quarterly?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Least privilege reduces blast radius of insider threats and compromises.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enforced in Azure AD; quarterly access certification process active.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privileged access managed via a PAM solution?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 reduces risk of privileged account misuse and lateral movement.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CyberArk PAM deployed; all admin sessions recorded and audited.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user access revoked within 24 hours of employee termination?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Timely deprovisioning prevents access by former employees.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offboarding triggers access revocation in under 2 hours.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enforce a password policy complying with NIST 800-63B?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passwords remain a leading attack vector.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policy enforced; complexity requirements partially aligned.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all customer data encrypted at rest using AES-256 or equivalent?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 at rest protects data in the event of physical or logical breach.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 encryption enforced on all data stores; key management via HSM.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all data encrypted in transit using TLS 1.2 or higher?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In-transit encryption prevents interception of sensitive data.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 enforced on all endpoints; TLS 1.0/1.1 disabled.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have a formal data classification and handling policy?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Ensures PHI/PII is identified and protected appropriately.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classification policy published; implementation 60% complete.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regular data backups performed and tested for recoverability?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Untested backups provide false assurance; tested backups are critical.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backups to geo-redundant storage; quarterly restore tests documented.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 Data Loss Prevention (DLP) solution in place?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DLP detects and prevents unauthorized exfiltration of sensitive data.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DLP partially deployed; email DLP active, endpoint DLP in rollout.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 documented Incident Response Plan (IRP) in place and tested annually?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tested IRP reduces response time and limits breach impact.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IRP documented per NIST 800-61; tabletop exercise completed Q4 2025.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you notify affected customers within 72 hours of a confirmed breach?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and HIPAA require timely breach notification.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notification SOP defined; legal and comms team pre-engaged.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maintain security incident logs for at least 12 months?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retention is critical for forensic investigation.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 retains logs 13 months; archived to cold storage for 3 years.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Have you experienced a reportable data breach in the last 3 years?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breach history indicates control effectiveness.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low-severity incident in 2024 — contained within 4 hours; no PHI exposed.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conduct annual penetration testing by an independent third party?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pen tests identify vulnerabilities internal teams may miss.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pen test by Coalfire completed Jan 2026; report available on request.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employees required to complete annual security awareness training?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error is the leading cause of security incidents.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training mandatory; 94% completion rate in 2025.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maintain a formal Vulnerability Management program with SLAs?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Unpatched vulnerabilities are among the most exploited attack surfaces.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vulns patched in 48h; high in 7 days; tracked in ServiceNow.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physical access to data centers controlled and monitored?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security is a foundational layer of a defense-in-depth strategy.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access + biometric; CCTV; visitor log maintained.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have HIPAA Business Associate Agreements (BAA) with all subprocessors?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BAAs are legally required when PHI is handled by third parties.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BAAs in place with all 14 subprocessors; reviewed annually.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participate in a threat intelligence sharing program (e.g., H-ISAC)?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intel sharing improves collective defense in the sector.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H-ISAC membership pending; current intel feeds from commercial providers.</w:t>
            </w:r>
          </w:p>
        </w:tc>
      </w:tr>
    </w:tbl>
    <w:p>
      <w:pPr>
        <w:pStyle w:val="Heading1"/>
        <w:spacing w:before="400"/>
      </w:pPr>
      <w:r>
        <w:t xml:space="preserve">Assessment Recommendations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Microsoft (M365/Azure GovCloud) demonstrates a mature security posture with a combined score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44/50 (88%) — LOW RISK</w:t>
      </w:r>
      <w:r>
        <w:rPr>
          <w:rFonts w:ascii="Arial" w:cs="Arial" w:eastAsia="Arial" w:hAnsi="Arial"/>
          <w:sz w:val="22"/>
          <w:szCs w:val="22"/>
        </w:rPr>
        <w:t xml:space="preserve">. Minor gaps identified in data classification implementation and subprocessor management. Recommended actions: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Request updated subprocessor list and evidence of fourth-party assessments by Q3 2026.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Confirm DLP endpoint rollout completion and request updated attestation.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Schedule annual re-assessment to align with NovaBridge's vendor risk calendar.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Resume Bullet: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Developed 25-question vendor risk assessment questionnaire; evaluated Microsoft 365/Azure GovCloud controls across five security domains, producing risk scorecard and remediation recommendations.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2026-05-06T04:37:55.411Z</dcterms:created>
  <dcterms:modified xsi:type="dcterms:W3CDTF">2026-05-06T04:37:55.412Z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