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37E"/>
          <w:sz w:val="40"/>
          <w:szCs w:val="40"/>
        </w:rPr>
        <w:t xml:space="preserve">NovaBridge Solutions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949AB"/>
          <w:sz w:val="32"/>
          <w:szCs w:val="32"/>
        </w:rPr>
        <w:t xml:space="preserve">Incident Response Plan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Version 1.0 | Classification: INTERNAL | Project 4 of 7 | GRC Portfolio | May 2026</w:t>
      </w:r>
    </w:p>
    <w:p>
      <w:pPr>
        <w:pBdr>
          <w:bottom w:val="single" w:color="1A237E" w:sz="6"/>
        </w:pBdr>
        <w:spacing w:after="240"/>
      </w:pPr>
    </w:p>
    <w:p>
      <w:pPr>
        <w:pBdr>
          <w:bottom w:val="single" w:color="1A237E" w:sz="3"/>
        </w:pBdr>
        <w:spacing w:after="0" w:before="300"/>
      </w:pPr>
    </w:p>
    <w:p>
      <w:pPr>
        <w:pStyle w:val="Heading1"/>
      </w:pPr>
      <w:r>
        <w:t xml:space="preserve">1. Purpose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Incident Response Plan (IRP) establishes a structured approach for NovaBridge Solutions to detect, contain, eradicate, and recover from cybersecurity incidents affecting federal health IT systems, PHI, and organizational operations. This plan aligns with NIST SP 800-61 Rev. 2 (Computer Security Incident Handling Guide) and ISO/IEC 27035 (Information Security Incident Management), and satisfies HIPAA Breach Notification Rule (45 CFR Part 164) requirements.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This plan applies to all NovaBridge employees, contractors, and third-party service providers with access to NovaBridge systems, networks, or data — including AWS GovCloud production environments and Microsoft 365 tenancy.</w:t>
      </w:r>
    </w:p>
    <w:p>
      <w:pPr>
        <w:pBdr>
          <w:bottom w:val="single" w:color="1A237E" w:sz="3"/>
        </w:pBdr>
        <w:spacing w:after="0" w:before="300"/>
      </w:pPr>
    </w:p>
    <w:p>
      <w:pPr>
        <w:pStyle w:val="Heading1"/>
      </w:pPr>
      <w:r>
        <w:t xml:space="preserve">2.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Incident Commander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Overall incident coordination; final decision authority; executive communications.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Lead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 Lead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 analysis; threat containment; forensics; evidence preservation.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Communications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VP of Communications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Internal/external messaging; media inquiries; federal agency notification.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Legal Counsel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General Counsel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Regulatory compliance; breach notification obligations; law enforcement liaison.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 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Manager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isolation; access revocation; backup restoration; patch deployment.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HR Representative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 Director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Insider threat investigations; employee communications; disciplinary actions.</w:t>
            </w:r>
          </w:p>
        </w:tc>
      </w:tr>
    </w:tbl>
    <w:p>
      <w:pPr>
        <w:pBdr>
          <w:bottom w:val="single" w:color="1A237E" w:sz="3"/>
        </w:pBdr>
        <w:spacing w:after="0" w:before="300"/>
      </w:pPr>
    </w:p>
    <w:p>
      <w:pPr>
        <w:pStyle w:val="Heading1"/>
      </w:pPr>
      <w:r>
        <w:t xml:space="preserve">3. Detection &amp; Initial Assessment</w:t>
      </w:r>
    </w:p>
    <w:p>
      <w:pPr>
        <w:pStyle w:val="Heading2"/>
      </w:pPr>
      <w:r>
        <w:t xml:space="preserve">3.1 Detection 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SIEM alerts (Microsoft Sentinel) — correlated across 150+ log 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EDR alerts (CrowdStrike Falcon) — endpoint behavioral anomalies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reports — employees report suspicious activity to security@novabridge.com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Third-party notification — vendor or federal agency alerts NovaBridge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Vulnerability scan results — Tenable.sc identifies active exploitation indicators</w:t>
      </w:r>
    </w:p>
    <w:p>
      <w:pPr>
        <w:pStyle w:val="Heading2"/>
      </w:pPr>
      <w:r>
        <w:t xml:space="preserve">3.2 Incident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0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3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Response SLA</w:t>
            </w:r>
          </w:p>
        </w:tc>
        <w:tc>
          <w:tcPr>
            <w:tcW w:type="dxa" w:w="31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SEV-1 (Critical)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Ransomware, PHI breach, system takeover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Immediate — 15 min acknowledgment; 1-hr containment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Commander + CISO + CEO notified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SEV-2 (High)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Unauthorized data access, malware infection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1-hour acknowledgment; 4-hr containment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+ SOC Lead notified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SEV-3 (Medium)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Failed intrusion attempt, policy violation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4-hour acknowledgment; 24-hr investigation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 Lead notified; standard workflow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SEV-4 (Low)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Phishing attempt (no click), suspicious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 business day; document and monitor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ServiceNow ticket; analyst handles</w:t>
            </w:r>
          </w:p>
        </w:tc>
      </w:tr>
    </w:tbl>
    <w:p>
      <w:pPr>
        <w:pBdr>
          <w:bottom w:val="single" w:color="1A237E" w:sz="3"/>
        </w:pBdr>
        <w:spacing w:after="0" w:before="300"/>
      </w:pPr>
    </w:p>
    <w:p>
      <w:pPr>
        <w:pStyle w:val="Heading1"/>
      </w:pPr>
      <w:r>
        <w:t xml:space="preserve">4. Tabletop Simulation — Ransomware Incident</w:t>
      </w:r>
    </w:p>
    <w:p>
      <w:pPr>
        <w:pStyle w:val="Heading2"/>
      </w:pPr>
      <w:r>
        <w:t xml:space="preserve">4.1 Scenario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Scenario Name: Operation Encrypted Bridge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Date of Simulation: May 2, 2026 | Duration: 3 hours | Participants: CISO, SOC Lead, IT Manager, Legal Counsel, HR Director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Trigger Event: At 02:14 AM EST, NovaBridge's SIEM (Microsoft Sentinel) generates a high-priority alert. Multiple workstations in the EHR integration team are exhibiting encrypted file extensions (.NBRIDGE_LOCKED). A ransom note appears on affected desktops demanding 40 BTC. The AWS GovCloud environment shows lateral movement indicators — an IAM role was modified 18 minutes prior.</w:t>
      </w:r>
    </w:p>
    <w:p>
      <w:pPr>
        <w:pStyle w:val="Heading2"/>
      </w:pPr>
      <w:r>
        <w:t xml:space="preserve">4.2 Incident Timeline &amp; Response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560"/>
      </w:tblGrid>
      <w:tr>
        <w:trPr>
          <w:tblHeader/>
        </w:trPr>
        <w:tc>
          <w:tcPr>
            <w:tcW w:type="dxa" w:w="12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(EST)</w:t>
            </w:r>
          </w:p>
        </w:tc>
        <w:tc>
          <w:tcPr>
            <w:tcW w:type="dxa" w:w="16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02:14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SIEM (Auto)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High-severity alert generated: mass file encryption detected on 12 endpoints. Alert routed to SOC on-call.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02:19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 Analyst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On-call analyst confirms alert. Initial triage: ransomware indicators consistent with LockBit 3.0 TTPs. Escalates to SEV-1.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02:22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Commander (CISO)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paged and assumes command. Activates IRP. Calls IT Manager and Legal Counsel.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02:30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Network segmentation executed: VLAN isolation applied to affected segment. AWS GovCloud: IAM role changes rolled back; CloudTrail logs preserved.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02:45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 Lead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Forensic imaging initiated on 3 affected endpoints. Patient-zero identified: a phishing email opened at 11:47 PM (previous day). Initial payload: macro-enabled Excel doc.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03:30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Legal Counsel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Preliminary scope assessment: 847 PHI records potentially exposed on encrypted drives. HHS Breach Notification clock started. 72-hour window begins.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05:00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IT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Eradication: affected systems wiped and re-imaged. Restoration from immutable S3 backup (last snapshot 01:00 AM — 73-min data loss).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06:00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Comms Lead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notification sent to all-staff. External: federal client liaison notified per contractual SLA. No media statement issued (premature).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08:00 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Systems restored. Core EHR integration services resumed. Post-incident review scheduled for 48 hours out.</w:t>
            </w:r>
          </w:p>
        </w:tc>
      </w:tr>
    </w:tbl>
    <w:p>
      <w:pPr>
        <w:pBdr>
          <w:bottom w:val="single" w:color="1A237E" w:sz="3"/>
        </w:pBdr>
        <w:spacing w:after="0" w:before="300"/>
      </w:pPr>
    </w:p>
    <w:p>
      <w:pPr>
        <w:pStyle w:val="Heading1"/>
      </w:pPr>
      <w:r>
        <w:t xml:space="preserve">5. Response Phases (NIST 800-61)</w:t>
      </w:r>
    </w:p>
    <w:p>
      <w:pPr>
        <w:pStyle w:val="Heading2"/>
      </w:pPr>
      <w:r>
        <w:t xml:space="preserve">5.1 Containment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Isolate affected hosts via VLAN segmentation — do NOT shut down (preserve volatile memory)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Disable compromised service accounts in Active Directory and Azure AD immediately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Preserve all system logs, memory dumps, and network captures as forensic evidence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Block known C2 IP ranges at perimeter firewall; update threat intel feeds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Revoke and rotate all potentially exposed IAM credentials in AWS GovCloud</w:t>
      </w:r>
    </w:p>
    <w:p>
      <w:pPr>
        <w:pStyle w:val="Heading2"/>
      </w:pPr>
      <w:r>
        <w:t xml:space="preserve">5.2 Eradication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Identify and eliminate all attacker persistence mechanisms (scheduled tasks, registry keys, backdoors)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Remove malicious artifacts using CrowdStrike Real Time Response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Patch the exploited vulnerability before restoring to production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Validate clean state via EDR scan before reconnecting isolated hosts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 YARA/Sigma detection rules based on incident IOCs</w:t>
      </w:r>
    </w:p>
    <w:p>
      <w:pPr>
        <w:pStyle w:val="Heading2"/>
      </w:pPr>
      <w:r>
        <w:t xml:space="preserve">5.3 Recovery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Restore from last known good immutable backup in AWS S3 (verify hash integrity)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Conduct smoke testing of restored systems before returning to production traffic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Increase monitoring intensity for 30 days post-incident (enhanced SIEM alerting)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Reset all credentials enterprise-wide; enforce MFA re-enrollment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Conduct user communications and phishing awareness refresher for affected team</w:t>
      </w:r>
    </w:p>
    <w:p>
      <w:pPr>
        <w:pBdr>
          <w:bottom w:val="single" w:color="1A237E" w:sz="3"/>
        </w:pBdr>
        <w:spacing w:after="0" w:before="300"/>
      </w:pPr>
    </w:p>
    <w:p>
      <w:pPr>
        <w:pStyle w:val="Heading1"/>
      </w:pPr>
      <w:r>
        <w:t xml:space="preserve">6. Lessons Learned &amp; Post-Incident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80"/>
        <w:gridCol w:w="2680"/>
      </w:tblGrid>
      <w:tr>
        <w:trPr>
          <w:tblHeader/>
        </w:trPr>
        <w:tc>
          <w:tcPr>
            <w:tcW w:type="dxa" w:w="200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46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268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Phishing susceptibility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Patient-zero clicked macro-enabled attachment; no sandbox detonation alert was triggered.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 email sandboxing (Defender ATP). Monthly phishing sim.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Detection gap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73-minute gap between ransomware detonation and SIEM alert due to threshold tuning.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Lower SIEM alert thresholds; add honeypot files for early detection.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Backup 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Immutable backups worked effectively; 73-minute data loss within RTO target.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Reduce backup interval from 60-min to 15-min for critical systems.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Communication delay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Federal client notification took 4 hours; contractual SLA requires 2-hour notification.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Pre-draft federal notification templates; establish auto-notification workflow.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Resume Bullet: 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Developed and tested Incident Response Plan for federal health IT contractor per NIST 800-61 and ISO 27035; simulated ransomware tabletop covering containment, eradication, recovery, and HIPAA breach notification requirements.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237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949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2026-05-06T04:39:14.582Z</dcterms:created>
  <dcterms:modified xsi:type="dcterms:W3CDTF">2026-05-06T04:39:14.582Z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