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12121"/>
          <w:sz w:val="36"/>
          <w:szCs w:val="36"/>
        </w:rPr>
        <w:t xml:space="preserve">NovaBridge Solutions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FF6F00"/>
          <w:sz w:val="28"/>
          <w:szCs w:val="28"/>
        </w:rPr>
        <w:t xml:space="preserve">SOC 2 Trust Service Criteria — AWS GovCloud Control Mapping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Project 5 of 7 | GRC Portfolio | Prepared by: Udeme | May 2026 | Environment: AWS GovCloud (us-gov-west-1)</w:t>
      </w:r>
    </w:p>
    <w:p>
      <w:pPr>
        <w:pBdr>
          <w:bottom w:val="single" w:color="FF6F00" w:sz="6"/>
        </w:pBdr>
        <w:spacing w:after="200"/>
      </w:pPr>
    </w:p>
    <w:p>
      <w:pPr>
        <w:pStyle w:val="Heading1"/>
      </w:pPr>
      <w:r>
        <w:t xml:space="preserve">Cloud Environment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NovaBridge Solutions operates a federal health IT workload on AWS GovCloud (us-gov-west-1), processing CUI and PHI on behalf of HHS and VA clients. The environment includes: 3 production VPCs, 14 S3 buckets (all encrypted), 2 RDS instances, and 8 Lambda-based microservices. CloudTrail, GuardDuty, AWS Config, and Security Hub are enabled globally. This mapping documents how 15 SOC 2 Trust Service Criteria controls are implemented in this cloud environment, with evidence artifacts collected for audit readiness.</w:t>
      </w:r>
    </w:p>
    <w:p>
      <w:pPr>
        <w:pStyle w:val="Heading1"/>
      </w:pPr>
      <w:r>
        <w:t xml:space="preserve">SOC 2 Control Mapping (15 Controls)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200"/>
        <w:gridCol w:w="3200"/>
        <w:gridCol w:w="2980"/>
        <w:gridCol w:w="1800"/>
      </w:tblGrid>
      <w:tr>
        <w:trPr>
          <w:tblHeader/>
        </w:trPr>
        <w:tc>
          <w:tcPr>
            <w:tcW w:type="dxa" w:w="900"/>
            <w:tcBorders>
              <w:top w:val="single" w:color="212121" w:sz="1"/>
              <w:left w:val="single" w:color="212121" w:sz="1"/>
              <w:bottom w:val="single" w:color="212121" w:sz="1"/>
              <w:right w:val="single" w:color="212121" w:sz="1"/>
            </w:tcBorders>
            <w:shd w:fill="2121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CC ID</w:t>
            </w:r>
          </w:p>
        </w:tc>
        <w:tc>
          <w:tcPr>
            <w:tcW w:type="dxa" w:w="1600"/>
            <w:tcBorders>
              <w:top w:val="single" w:color="212121" w:sz="1"/>
              <w:left w:val="single" w:color="212121" w:sz="1"/>
              <w:bottom w:val="single" w:color="212121" w:sz="1"/>
              <w:right w:val="single" w:color="212121" w:sz="1"/>
            </w:tcBorders>
            <w:shd w:fill="2121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TSC Category</w:t>
            </w:r>
          </w:p>
        </w:tc>
        <w:tc>
          <w:tcPr>
            <w:tcW w:type="dxa" w:w="2200"/>
            <w:tcBorders>
              <w:top w:val="single" w:color="212121" w:sz="1"/>
              <w:left w:val="single" w:color="212121" w:sz="1"/>
              <w:bottom w:val="single" w:color="212121" w:sz="1"/>
              <w:right w:val="single" w:color="212121" w:sz="1"/>
            </w:tcBorders>
            <w:shd w:fill="2121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200"/>
            <w:tcBorders>
              <w:top w:val="single" w:color="212121" w:sz="1"/>
              <w:left w:val="single" w:color="212121" w:sz="1"/>
              <w:bottom w:val="single" w:color="212121" w:sz="1"/>
              <w:right w:val="single" w:color="212121" w:sz="1"/>
            </w:tcBorders>
            <w:shd w:fill="2121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GovCloud Implementation</w:t>
            </w:r>
          </w:p>
        </w:tc>
        <w:tc>
          <w:tcPr>
            <w:tcW w:type="dxa" w:w="2980"/>
            <w:tcBorders>
              <w:top w:val="single" w:color="212121" w:sz="1"/>
              <w:left w:val="single" w:color="212121" w:sz="1"/>
              <w:bottom w:val="single" w:color="212121" w:sz="1"/>
              <w:right w:val="single" w:color="212121" w:sz="1"/>
            </w:tcBorders>
            <w:shd w:fill="2121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Artifact</w:t>
            </w:r>
          </w:p>
        </w:tc>
        <w:tc>
          <w:tcPr>
            <w:tcW w:type="dxa" w:w="1800"/>
            <w:tcBorders>
              <w:top w:val="single" w:color="212121" w:sz="1"/>
              <w:left w:val="single" w:color="212121" w:sz="1"/>
              <w:bottom w:val="single" w:color="212121" w:sz="1"/>
              <w:right w:val="single" w:color="212121" w:sz="1"/>
            </w:tcBorders>
            <w:shd w:fill="21212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CC1.1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Environment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Management demonstrates commitment to security principles and values.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IAM Organizations SCPs enforce least-privilege boundaries; AWS Config tracks deviations. Security charter documented and board-approved.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Config compliance dashboard screenshot; IAM policy 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CC1.2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Environment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Board of directors demonstrates independence and oversight.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Quarterly GRC reports presented to executive leadership; CISO reports to CEO directly.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Board meeting minutes (redacted); org chart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CC2.1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Communication &amp; Information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obtains and uses relevant quality information.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CloudWatch dashboards provide real-time health metrics; Sentinel SIEM aggregates 150+ log sources.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CloudWatch dashboard screenshot; log source inventory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CC2.2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Communication &amp; Information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communication supports system objectives.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security alerts routed to PagerDuty; IR runbooks stored in Confluence; alerts tested monthly.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PagerDuty escalation policy screenshot; Confluence runbook 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CC3.2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Assessment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assessment identifies and analyzes risk.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 risk assessment per ISO 31000; risk register maintained in ServiceNow GRC; risks reviewed quarterly.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register export; ServiceNow GRC workflow screenshot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CC6.1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Logical Access Controls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Logical access to system components is restricted.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IAM: MFA enforced on all accounts; S3 bucket policies restrict public access; VPC security groups limit lateral movement.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IAM credential report; S3 bucket policy JSON; VPC security group rules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CC6.2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Logical Access Controls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 to issuing credentials, users are registered and authorized.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provisioning via ServiceNow ITIL workflow; manager approval required; IAM user creation logged in CloudTrail.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ServiceNow access request ticket screenshot; CloudTrail log excerpt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CC6.3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Logical Access Controls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is removed promptly when no longer needed.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deprovisioning: IAM user disabled within 2 hours of termination trigger; reviewed via quarterly access certification.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Offboarding workflow diagram; IAM access review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CC6.7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Logical Access Controls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Transmission of data is authorized and encrypted.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TLS 1.3 enforced on all ALBs and API Gateways; AWS Certificate Manager manages certificates; no HTTP allowed.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ACM certificate list screenshot; ALB listener rule (HTTPS-only)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CC7.1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Systems Operations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Detection mechanisms are implemented.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CloudTrail enabled on all regions; GuardDuty active; Security Hub aggregates findings; SIEM ingests all events.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GuardDuty active findings screenshot; CloudTrail trail configuration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CC7.2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Systems Operations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monitoring is performed.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CloudWatch alarms for CPU/memory/disk; 99.9% uptime SLA monitored; anomalous API calls trigger GuardDuty alerts.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CloudWatch alarm configuration; uptime SLA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CC7.4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Systems Operations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events are identified and responded to.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SIEM correlation rules detect anomalies; SEV-1 incidents trigger automated PagerDuty page; IRP executed per plan.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Sentinel alert rule screenshot; PagerDuty incident 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CC8.1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Changes to infrastructure are authorized.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CloudFormation used for all IaC changes; PR approval required (2 reviewers); changes tested in staging before production.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CloudFormation template; GitHub PR approval screenshot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CC9.1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Mitigation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identifies and develops risk mitigation activities.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mitigation tracked in ServiceNow GRC; control owners assigned; residual risk reviewed quarterly.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ServiceNow GRC remediation task screenshot; risk register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Implemented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CC9.2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Mitigation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 assesses and manages risks from vendors.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Annual vendor risk assessments; BAAs executed with all PHI-processing vendors; SOC 2 reports required.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assessment report (P3); BAA register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6221"/>
                <w:sz w:val="18"/>
                <w:szCs w:val="18"/>
              </w:rPr>
              <w:t xml:space="preserve">Implemented</w:t>
            </w:r>
          </w:p>
        </w:tc>
      </w:tr>
    </w:tbl>
    <w:p>
      <w:pPr>
        <w:pStyle w:val="Heading1"/>
        <w:spacing w:before="360"/>
      </w:pPr>
      <w:r>
        <w:t xml:space="preserve">Key AWS Services Leveraged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FF6F00" w:sz="1"/>
              <w:left w:val="single" w:color="FF6F00" w:sz="1"/>
              <w:bottom w:val="single" w:color="FF6F00" w:sz="1"/>
              <w:right w:val="single" w:color="FF6F00" w:sz="1"/>
            </w:tcBorders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Service</w:t>
            </w:r>
          </w:p>
        </w:tc>
        <w:tc>
          <w:tcPr>
            <w:tcW w:type="dxa" w:w="2000"/>
            <w:tcBorders>
              <w:top w:val="single" w:color="FF6F00" w:sz="1"/>
              <w:left w:val="single" w:color="FF6F00" w:sz="1"/>
              <w:bottom w:val="single" w:color="FF6F00" w:sz="1"/>
              <w:right w:val="single" w:color="FF6F00" w:sz="1"/>
            </w:tcBorders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5160"/>
            <w:tcBorders>
              <w:top w:val="single" w:color="FF6F00" w:sz="1"/>
              <w:left w:val="single" w:color="FF6F00" w:sz="1"/>
              <w:bottom w:val="single" w:color="FF6F00" w:sz="1"/>
              <w:right w:val="single" w:color="FF6F00" w:sz="1"/>
            </w:tcBorders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SOC 2 Control(s) Supported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CloudTrail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logging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CC7.1, CC7.2 — all API calls logged, immutable, 13-month retention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GuardDuty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Threat detection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CC7.1, CC7.4 — ML-based anomaly detection across VPC, DNS, CloudTrail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monitoring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CC1.1, CC3.2 — 47 managed rules; deviations trigger SNS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Aggregated findings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CC7.1 — CIS AWS Foundations Benchmark; 94% compliance score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control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CC6.1, CC6.2, CC6.3 — least privilege; MFA; access reviews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KMS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Encryption key management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CC6.7 — CMKs for S3, RDS, EBS; key rotation enabled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VPC Flow 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monitoring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CC7.2 — all ingress/egress traffic logged; anomalies alert SOC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Resume Bullet: 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Mapped 15 SOC 2 Trust Service Criteria to AWS GovCloud environment; documented technical control implementations across IAM, CloudTrail, GuardDuty, and Security Hub with mock evidence artifacts for audit readiness.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1212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FF6F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2026-05-06T04:40:15.129Z</dcterms:created>
  <dcterms:modified xsi:type="dcterms:W3CDTF">2026-05-06T04:40:15.130Z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