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148C"/>
          <w:sz w:val="36"/>
          <w:szCs w:val="36"/>
        </w:rPr>
        <w:t xml:space="preserve">NovaBridge Solutions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B1FA2"/>
          <w:sz w:val="28"/>
          <w:szCs w:val="28"/>
        </w:rPr>
        <w:t xml:space="preserve">Internal Audit Report — Information Security &amp; GRC Controls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Audit Period: Q1 2026 (Jan – Mar) | Project 7 of 7 | GRC Portfolio | Prepared by: Udeme | May 2026</w:t>
      </w:r>
    </w:p>
    <w:p>
      <w:pPr>
        <w:pBdr>
          <w:bottom w:val="single" w:color="4A148C" w:sz="6"/>
        </w:pBdr>
        <w:spacing w:after="240"/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NovaBridge Solutions conducted an internal GRC audit for Q1 2026 covering 10 security controls drawn from the ISO 27001:2022 Annex A control set, SOC 2 Trust Service Criteria (CC categories), and HIPAA Security Rule requirements. The audit scope encompassed the AWS GovCloud production environment, endpoint security, vendor management, and people/process controls.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Audit Result: CONDITIONAL PASS — NovaBridge demonstrates a strong baseline security posture with 0 Critical findings. However, 3 High-severity findings require prompt remediation, particularly around access review cadence, DLP coverage gaps, and expired vendor attestations. No active exploits or breaches were identified during the audit period.</w:t>
      </w:r>
    </w:p>
    <w:p>
      <w:pPr>
        <w:pStyle w:val="Heading1"/>
      </w:pPr>
      <w:r>
        <w:t xml:space="preserve">Audit Scope &amp; 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Standard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 27001:2022 Annex A + SOC 2 TSC + HIPAA Security Rule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review, evidence sampling, process walkthroughs, system configuration inspection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control areas from Projects 1–6 of GRC portfolio; AWS GovCloud + endpoint + vendor + HR controls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 Collected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52 artifacts: screenshots, policies, reports, log samples, access review outputs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GRC Analyst (Udeme) — Internal Audit function; independent of control owners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Period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January 1 – March 31, 2026</w:t>
            </w:r>
          </w:p>
        </w:tc>
      </w:tr>
    </w:tbl>
    <w:p>
      <w:pPr>
        <w:pStyle w:val="Heading1"/>
        <w:spacing w:before="360"/>
      </w:pPr>
      <w:r>
        <w:t xml:space="preserve">Audit Findings &amp; Corrective Action Plan (10 Findings)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Severity: Critical = systemic failure / active risk | High = significant gap | Medium = process gap | Low = improvement opportunity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800"/>
        <w:gridCol w:w="900"/>
        <w:gridCol w:w="3180"/>
        <w:gridCol w:w="1500"/>
        <w:gridCol w:w="1200"/>
        <w:gridCol w:w="1500"/>
      </w:tblGrid>
      <w:tr>
        <w:trPr>
          <w:tblHeader/>
        </w:trPr>
        <w:tc>
          <w:tcPr>
            <w:tcW w:type="dxa" w:w="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Ref</w:t>
            </w:r>
          </w:p>
        </w:tc>
        <w:tc>
          <w:tcPr>
            <w:tcW w:type="dxa" w:w="28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9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18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Corrective Action</w:t>
            </w:r>
          </w:p>
        </w:tc>
        <w:tc>
          <w:tcPr>
            <w:tcW w:type="dxa" w:w="15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CC6.1 / A.8.3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access reviews not completed on schedule — 3 of 4 Q1 reviews overdue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 dedicated access review owner; automate via ServiceNow workflow; complete outstanding reviews by June 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A.8.12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DLP solution not deployed on endpoints — only email DLP active; 40% coverage gap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endpoint DLP rollout by Q3 2026; interim compensating control: enhanced UEBA monitoring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A.8.28 / CC8.1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formal secure coding standard documented; SAST tool selected but not integrated into CI/CD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 OWASP-based secure coding guide by July 2026; integrate Checkmarx into GitHub Actions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A.6.3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 awareness training completion at 78%; target is 100%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escalation to department heads; extend training deadline 30 days; track via LMS dashboard weekly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 Director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CC9.2 / A.5.19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of 14 vendors lack current SOC 2 Type II attestation (reports expired &gt; 12 months)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Issue formal remediation request; require updated attestations by July 31 or initiate off-boarding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GRC Analyst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CC7.1 / A.8.15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OT/ICS systems not onboarded to SIEM — creates detection gap for 6 legacy devices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Engage OT security specialist; deploy lightweight syslog forwarding to Sentinel by Q3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SOC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A.5.29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Continuity Plan tested via documentation review only; no live test conducted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Schedule DR tabletop exercise Q2 2026; live failover test planned Q3 2026; document RTO/RPO results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A.8.10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retention policy published but deletion procedure not operationalized; backlog of stale 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automated data lifecycle policies in AWS S3 using object lifecycle rules by Q3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response runbooks 60% complete — 4 critical scenarios lack documented procedures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remaining runbooks (credential theft, DDoS, insider threat, supply chain) by June 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SOC Lead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A.5.35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independent verification of internal controls performed in FY2025 — self-assessment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Engage external auditor for gap assessment in Q4 2026 in preparation for ISO 27001 certification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Q3 2026</w:t>
            </w:r>
          </w:p>
        </w:tc>
      </w:tr>
    </w:tbl>
    <w:p>
      <w:pPr>
        <w:pStyle w:val="Heading1"/>
        <w:spacing w:before="360"/>
      </w:pPr>
      <w:r>
        <w:t xml:space="preserve">Findings Summary &amp; Lessons Learned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50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Immediate Action Required?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— F-001, F-002, F-005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Within 60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Within 90 days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Lessons Learned: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reviews require automation — manual processes consistently fall behind schedule and create audit gaps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Vendor risk is a continuous process, not a one-time check — expired attestations indicate a monitoring cadence failure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DLP and SIEM coverage gaps are systemic risks that require both technical remediation and process controls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Security culture gaps (training completion at 78%) reflect a need for leadership accountability and gamification of compliance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Resume Bullet: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Performed mock internal audit of 10 GRC controls across ISO 27001, SOC 2, and HIPAA frameworks; identified 10 findings (3 High), produced corrective action plan with ownership assignments and remediation timelines.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4A14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7B1FA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2026-05-06T04:41:22.743Z</dcterms:created>
  <dcterms:modified xsi:type="dcterms:W3CDTF">2026-05-06T04:41:22.743Z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