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61D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викладача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навчальній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дисципліні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відповідністю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документами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вищу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вчене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звання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науковою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спеціальністю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досвідом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практичної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фахом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проходженням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науково-педагогічного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стажування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тривалістю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шести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місяців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одноосібних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публікацій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рецензованих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закордонни</w:t>
      </w:r>
      <w:bookmarkStart w:id="0" w:name="_GoBack"/>
      <w:bookmarkEnd w:id="0"/>
      <w:r w:rsidRPr="00BA61D7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фахових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виданнях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виданого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підручника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посібника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вимогами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МОН.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показників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визначених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підпунктах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1 і 2 пункту 4 для початкового,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бакалаврського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) і другого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магістерського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спеціальностей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галузей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01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”, 02 “Культура і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”, 19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будівництво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народний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артист”,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народний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художник”,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народний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архітектор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заслужений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тренер”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прирівнюються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вченого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професора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заслужений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артист”,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заслужений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художник”,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заслужений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ітектор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заслужений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майстер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спорту”,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заслужений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майстер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народної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” -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вченого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доцента.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3. У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ідпункті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2 пункту 4 до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докторів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наук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прирівнюються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ступенем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доктора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філософії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(кандидата наук)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у них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п’яти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статей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періодичних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виданнях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включені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наукометричних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баз,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Scopus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Web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of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Science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Core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Collection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рекомендованих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МОН.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5: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визнаним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професіоналом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досвідом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ідницької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фахом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десяти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стажу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 посадах,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спорідненими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відповідній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дисципліні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визнаним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професіоналом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досвідом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управлінської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фахом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десяти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стажу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 посадах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заступників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ідприємств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організацій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установ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підрозділів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передбачають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безпосереднє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працівниками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роботу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професіями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спорідненими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відповідній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дисципліні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визнаним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професіоналом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досвідом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інноваційної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фахом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десяти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стажу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спрямованої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права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інтелектуальної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власності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винаходів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моделей,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промислових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компонувань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топографій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інтегральних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мікросхем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раціоналізаторських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пропозицій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сортів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рослин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порід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тварин</w:t>
      </w:r>
      <w:proofErr w:type="spellEnd"/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відкриттів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компіляції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(баз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комерціалізацію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визнаним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професіоналом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досвідом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творчої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фахом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десяти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стажу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спрямованої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права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інтелектуальної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власності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літературний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тві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переклад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літературного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твори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живопису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, декоративно-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ужиткового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мистецтва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скульптурний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графічний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фотографічний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твір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твір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дизайну,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музичний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тві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-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відеотвори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організацій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медіатвір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сценічна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постановка,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кінотвір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анімаційний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твір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аранжування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рекламний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твір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комерціалізацію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визнаним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професіоналом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досвідом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фахом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педагогічний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десяти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стажу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трудової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місцем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професіями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lastRenderedPageBreak/>
        <w:t>що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спорідненими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відповідній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дисципліні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. До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стажу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включається</w:t>
      </w:r>
      <w:proofErr w:type="spellEnd"/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робота на посадах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заступників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ідприємств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організацій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установ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підрозділів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безпосереднє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працівниками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роботу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професіями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спорідненими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відповідній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дисципліні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5.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6 для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професійної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публікації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періодичному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виданні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яке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включено до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наукометричних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баз,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Scopus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Web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of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Science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Core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</w:rPr>
        <w:t>Collection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рекомендованих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МОН;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публікацій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виданнях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включених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переліку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фахових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видань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, та/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авторських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ідоцтв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, та/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патентів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загальною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п’ять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досягнень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виданого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ідручника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посібника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рекомендований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МОН,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центральним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органом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виконавчої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влади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вченою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радою закладу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монографії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співавторства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-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фіксованим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власним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внеском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консультування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здобувача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одержав документ про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присудження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ступеня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5) участь у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іжнародному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науковому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залучення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міжнародної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експертизи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суддя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міжнародної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”;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занять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іноземною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мовних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дисциплін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обсязі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50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аудиторних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годин на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7) робота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складі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експертних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рад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експертизи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дисертацій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МОН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галузевих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експертних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рад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Національного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агентства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lastRenderedPageBreak/>
        <w:t>якості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вищої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Акредитаційної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комісії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експертних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рад,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міжгалузевої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експертної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ради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вищої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Акредитаційної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комісії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експертних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комісій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МОН/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зазначеного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Агентства,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Науково-методичної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ради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науково-методичних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комісій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вищої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МОН,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стандартів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вищої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8)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відповідального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виконавця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теми (проекту),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головного редактора/члена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редакційної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колегії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видання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включеного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переліку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фахових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видань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іноземного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рецензованого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видання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9)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зайняв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призове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ісце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робота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складі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організаційного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комітету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журі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апеляційної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комісії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Міжнародної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олімпіади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A61D7">
        <w:rPr>
          <w:rFonts w:ascii="Times New Roman" w:hAnsi="Times New Roman" w:cs="Times New Roman"/>
          <w:sz w:val="28"/>
          <w:szCs w:val="28"/>
        </w:rPr>
        <w:t>II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етапу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олімпіади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конкурсу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)/</w:t>
      </w:r>
      <w:r w:rsidRPr="00BA61D7">
        <w:rPr>
          <w:rFonts w:ascii="Times New Roman" w:hAnsi="Times New Roman" w:cs="Times New Roman"/>
          <w:sz w:val="28"/>
          <w:szCs w:val="28"/>
        </w:rPr>
        <w:t>III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A61D7">
        <w:rPr>
          <w:rFonts w:ascii="Times New Roman" w:hAnsi="Times New Roman" w:cs="Times New Roman"/>
          <w:sz w:val="28"/>
          <w:szCs w:val="28"/>
        </w:rPr>
        <w:t>IV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етапу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учнівських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олімпіад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A61D7">
        <w:rPr>
          <w:rFonts w:ascii="Times New Roman" w:hAnsi="Times New Roman" w:cs="Times New Roman"/>
          <w:sz w:val="28"/>
          <w:szCs w:val="28"/>
        </w:rPr>
        <w:t>II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A61D7">
        <w:rPr>
          <w:rFonts w:ascii="Times New Roman" w:hAnsi="Times New Roman" w:cs="Times New Roman"/>
          <w:sz w:val="28"/>
          <w:szCs w:val="28"/>
        </w:rPr>
        <w:t>III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етапу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конкурсів-захистів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науково-дослідницьких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членів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Малої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академії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наук;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став призером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Олімпійських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Паралімпійських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ігор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Всесвітньої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Універсіади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чемпіонату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Європи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Європейських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ігор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Кубку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Європи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чемпіонату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обов’язків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головного секретаря, головного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судді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судді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міжнародних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змагань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спортивною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делегацією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робота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складі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організаційного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комітету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суддівського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корпусу;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10)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організаційна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робота у закладах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 посадах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(заступника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закладу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/факультету/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установи)/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інституту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філії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відповідального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ідготовку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здобувачів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вищої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підрозділу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відділу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установи)/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-методичного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відділу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)/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лабораторії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навчально-наукового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інноваційного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структурного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ідрозділу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вченого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секретаря закладу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(факультету,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інституту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)/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відповідального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секретаря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приймальної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комісії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заступника;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11) участь в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атестації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кадрів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офіційного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опонента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члена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спеціалізованої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вченої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ради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12)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присудження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ступеня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доктора наук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присвоєння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вченого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професора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13)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авторських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ідоцтв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патентів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загальною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14)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виданих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навчально-методичних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пос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ібників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посібників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конспектів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лекцій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практикумів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вказівок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рекомендацій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загальною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15)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присудження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ступеня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доктора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філософії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присвоєння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вченого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доцента,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 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другу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вищу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16)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зайняв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призове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ісце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BA61D7">
        <w:rPr>
          <w:rFonts w:ascii="Times New Roman" w:hAnsi="Times New Roman" w:cs="Times New Roman"/>
          <w:sz w:val="28"/>
          <w:szCs w:val="28"/>
        </w:rPr>
        <w:t>I</w:t>
      </w: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олімпіади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конкурсу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робота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складі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організаційного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комітету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журі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олімпіади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конкурсу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діючим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студентським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науковим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гуртком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/проблемною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групою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обов’язків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куратора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брав участь в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Олімпійських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Паралімпійських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іграх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Всесвітній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Всеукраїнській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Універсіаді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чемпіонаті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Європи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Європейських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іграх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етапах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Кубку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Європи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чемпіонаті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обов’язків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тренера,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помічника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тренера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національної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збірної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виді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спорту;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17)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студентської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громадської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волонтерської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професійне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спрямування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18)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науково-популярних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консультаційних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дорадчих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) та/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дискусійних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публікацій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професійної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тематики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загальною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публікації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19)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поєднання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фахової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професійної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працівника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зараховуватися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здобутки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попередніми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п’ятирічний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строк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продовжуватися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 час перерви в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об’єктивних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причин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відпустка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пологами та для догляду за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дитиною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>, призов/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мобілізація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військову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службу,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тривала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хвороба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). Для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випускників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вищих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закладів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розраховуються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пропорційно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стажу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до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стажем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науково-педагогічної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наукової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зазначені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застосовуються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Ліцензіат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передбачених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у: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пунктах 4 і 5, -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за результатами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освітньої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освітньої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пунктах 6-8, -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освітньої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A61D7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7. Заклад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іноземців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осіб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громадянства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в’їжджають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Україну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тестових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випробувань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української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іншої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освітньому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A61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86550" w:rsidRPr="00BA61D7" w:rsidRDefault="00BA61D7" w:rsidP="00BA61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Науково-педагогічні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педагогічні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працівники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провадження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освітньої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сертифікат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Загальноєвропейської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мовної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lastRenderedPageBreak/>
        <w:t>освіти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BA61D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proofErr w:type="gram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В2)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кваліфікаційні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іноземної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D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A61D7">
        <w:rPr>
          <w:rFonts w:ascii="Times New Roman" w:hAnsi="Times New Roman" w:cs="Times New Roman"/>
          <w:sz w:val="28"/>
          <w:szCs w:val="28"/>
        </w:rPr>
        <w:t>.</w:t>
      </w:r>
    </w:p>
    <w:sectPr w:rsidR="00086550" w:rsidRPr="00BA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D5"/>
    <w:rsid w:val="00334445"/>
    <w:rsid w:val="00BA61D7"/>
    <w:rsid w:val="00CA5E9D"/>
    <w:rsid w:val="00DF40CB"/>
    <w:rsid w:val="00F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82">
    <w:name w:val="rvts82"/>
    <w:basedOn w:val="a0"/>
    <w:rsid w:val="00BA6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82">
    <w:name w:val="rvts82"/>
    <w:basedOn w:val="a0"/>
    <w:rsid w:val="00BA6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udgine</dc:creator>
  <cp:keywords/>
  <dc:description/>
  <cp:lastModifiedBy>udgine</cp:lastModifiedBy>
  <cp:revision>2</cp:revision>
  <dcterms:created xsi:type="dcterms:W3CDTF">2018-06-09T19:54:00Z</dcterms:created>
  <dcterms:modified xsi:type="dcterms:W3CDTF">2018-06-12T05:12:00Z</dcterms:modified>
</cp:coreProperties>
</file>