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6245" w14:textId="77777777" w:rsidR="0004690D" w:rsidRDefault="0004690D">
      <w:pPr>
        <w:spacing w:after="120"/>
        <w:rPr>
          <w:rFonts w:cs="Times New Roman"/>
        </w:rPr>
      </w:pPr>
    </w:p>
    <w:p w14:paraId="6DF45B8B" w14:textId="77777777" w:rsidR="004E2E03" w:rsidRDefault="004E2E03">
      <w:pPr>
        <w:spacing w:after="120"/>
        <w:rPr>
          <w:rFonts w:cs="Times New Roman"/>
        </w:rPr>
      </w:pPr>
    </w:p>
    <w:p w14:paraId="2F199697" w14:textId="6F0840B5" w:rsidR="0004690D" w:rsidRDefault="00000000" w:rsidP="004E2E03">
      <w:pPr>
        <w:spacing w:before="1440" w:after="120"/>
        <w:jc w:val="center"/>
        <w:rPr>
          <w:rFonts w:cs="Times New Roman"/>
          <w:b/>
          <w:sz w:val="44"/>
        </w:rPr>
      </w:pPr>
      <w:r w:rsidRPr="00EC5207">
        <w:rPr>
          <w:rFonts w:cs="Times New Roman"/>
          <w:b/>
          <w:color w:val="1A1A2E"/>
          <w:sz w:val="44"/>
        </w:rPr>
        <w:t>Literature Review and Reference Management</w:t>
      </w:r>
    </w:p>
    <w:p w14:paraId="03B2DCD3" w14:textId="77777777" w:rsidR="0004690D" w:rsidRDefault="00000000">
      <w:pPr>
        <w:spacing w:before="360" w:after="480"/>
        <w:jc w:val="center"/>
        <w:rPr>
          <w:rFonts w:cs="Times New Roman"/>
          <w:b/>
          <w:sz w:val="28"/>
        </w:rPr>
      </w:pPr>
      <w:r w:rsidRPr="00EC5207">
        <w:rPr>
          <w:rFonts w:cs="Times New Roman"/>
          <w:b/>
          <w:sz w:val="32"/>
        </w:rPr>
        <w:t>Predictive Cold Chain Disruption Modeling for Pharmaceutical Logistics</w:t>
      </w:r>
      <w:r w:rsidRPr="00EC5207">
        <w:rPr>
          <w:rFonts w:cs="Times New Roman"/>
          <w:b/>
          <w:sz w:val="32"/>
        </w:rPr>
        <w:br/>
        <w:t>Using IoT Sensor Data and Explainable AI</w:t>
      </w:r>
    </w:p>
    <w:p w14:paraId="7FCE4671" w14:textId="77777777" w:rsidR="0004690D" w:rsidRDefault="00000000">
      <w:pPr>
        <w:spacing w:before="120" w:after="360"/>
        <w:jc w:val="center"/>
        <w:rPr>
          <w:rFonts w:cs="Times New Roman"/>
          <w:i/>
          <w:sz w:val="24"/>
        </w:rPr>
      </w:pPr>
      <w:r w:rsidRPr="00EC5207">
        <w:rPr>
          <w:rFonts w:cs="Times New Roman"/>
          <w:i/>
          <w:sz w:val="26"/>
        </w:rPr>
        <w:t>Lab 2: Literature Survey Report</w:t>
      </w:r>
    </w:p>
    <w:p w14:paraId="27715B4F" w14:textId="77777777" w:rsidR="0004690D" w:rsidRDefault="00000000">
      <w:pPr>
        <w:spacing w:before="120"/>
        <w:jc w:val="center"/>
        <w:rPr>
          <w:rFonts w:cs="Times New Roman"/>
        </w:rPr>
      </w:pPr>
      <w:r w:rsidRPr="00EC5207">
        <w:rPr>
          <w:rFonts w:cs="Times New Roman"/>
        </w:rPr>
        <w:t>Base Paper: "An Anomaly Detection Scheme for Data Stream in Cold Chain Logistics"</w:t>
      </w:r>
      <w:r w:rsidRPr="00EC5207">
        <w:rPr>
          <w:rFonts w:cs="Times New Roman"/>
        </w:rPr>
        <w:br/>
        <w:t>Xie Z, Long H, Ling C, Zhou Y, Luo Y (2025) — PLOS ONE</w:t>
      </w:r>
    </w:p>
    <w:p w14:paraId="23F0E800" w14:textId="22311801" w:rsidR="004E2E03" w:rsidRDefault="00000000" w:rsidP="004E2E03">
      <w:pPr>
        <w:spacing w:before="120" w:after="160"/>
        <w:jc w:val="center"/>
        <w:rPr>
          <w:rFonts w:cs="Times New Roman"/>
          <w:i/>
          <w:sz w:val="20"/>
        </w:rPr>
      </w:pPr>
      <w:r w:rsidRPr="00EC5207">
        <w:rPr>
          <w:rFonts w:cs="Times New Roman"/>
          <w:i/>
          <w:sz w:val="20"/>
        </w:rPr>
        <w:t>Dataset: Kaggle Cold Chain Shipment Silent Failure Dataset</w:t>
      </w:r>
      <w:r w:rsidRPr="00EC5207">
        <w:rPr>
          <w:rFonts w:cs="Times New Roman"/>
          <w:i/>
          <w:sz w:val="20"/>
        </w:rPr>
        <w:br/>
      </w:r>
      <w:hyperlink r:id="rId8" w:history="1">
        <w:r w:rsidR="004E2E03" w:rsidRPr="005E08F5">
          <w:rPr>
            <w:rStyle w:val="Hyperlink"/>
            <w:rFonts w:cs="Times New Roman"/>
            <w:i/>
            <w:sz w:val="20"/>
          </w:rPr>
          <w:t>https://www.kaggle.com/datasets/skarin/cold-chain-shipment-silent-failure-dataset</w:t>
        </w:r>
      </w:hyperlink>
    </w:p>
    <w:p w14:paraId="40B5C8DD" w14:textId="77777777" w:rsidR="004E2E03" w:rsidRDefault="004E2E03" w:rsidP="004E2E03">
      <w:pPr>
        <w:spacing w:before="120" w:after="160"/>
        <w:jc w:val="center"/>
        <w:rPr>
          <w:rFonts w:cs="Times New Roman"/>
          <w:i/>
          <w:sz w:val="20"/>
        </w:rPr>
      </w:pPr>
    </w:p>
    <w:p w14:paraId="099A95EE" w14:textId="77777777" w:rsidR="004E2E03" w:rsidRDefault="004E2E03" w:rsidP="004E2E03">
      <w:pPr>
        <w:spacing w:before="120" w:after="160"/>
        <w:jc w:val="center"/>
        <w:rPr>
          <w:rFonts w:cs="Times New Roman"/>
          <w:i/>
          <w:sz w:val="20"/>
        </w:rPr>
      </w:pPr>
    </w:p>
    <w:p w14:paraId="19E7984D" w14:textId="77777777" w:rsidR="004E2E03" w:rsidRDefault="004E2E03" w:rsidP="004E2E03">
      <w:pPr>
        <w:spacing w:before="120" w:after="160"/>
        <w:jc w:val="center"/>
        <w:rPr>
          <w:rFonts w:cs="Times New Roman"/>
        </w:rPr>
      </w:pPr>
    </w:p>
    <w:p w14:paraId="719601E7" w14:textId="1CE5BC80" w:rsidR="004E2E03" w:rsidRDefault="00000000" w:rsidP="004E2E03">
      <w:pPr>
        <w:spacing w:before="120" w:after="160"/>
        <w:jc w:val="center"/>
        <w:rPr>
          <w:rFonts w:cs="Times New Roman"/>
        </w:rPr>
      </w:pPr>
      <w:r>
        <w:rPr>
          <w:i/>
        </w:rPr>
        <w:t>Submitted by</w:t>
      </w:r>
      <w:r w:rsidR="004E2E03">
        <w:rPr>
          <w:i/>
        </w:rPr>
        <w:t xml:space="preserve"> :</w:t>
      </w:r>
    </w:p>
    <w:p w14:paraId="3455DA9A" w14:textId="77777777" w:rsidR="004E2E03" w:rsidRPr="004E2E03" w:rsidRDefault="00000000" w:rsidP="004E2E03">
      <w:pPr>
        <w:spacing w:before="120" w:after="160"/>
        <w:jc w:val="center"/>
        <w:rPr>
          <w:rFonts w:cs="Times New Roman"/>
          <w:bCs/>
        </w:rPr>
      </w:pPr>
      <w:r w:rsidRPr="004E2E03">
        <w:rPr>
          <w:bCs/>
          <w:sz w:val="28"/>
          <w:szCs w:val="28"/>
        </w:rPr>
        <w:t>Udhav Dhandia</w:t>
      </w:r>
    </w:p>
    <w:p w14:paraId="4DBD074F" w14:textId="77777777" w:rsidR="004E2E03" w:rsidRDefault="00000000" w:rsidP="004E2E03">
      <w:pPr>
        <w:spacing w:before="120" w:after="160"/>
        <w:jc w:val="center"/>
        <w:rPr>
          <w:rFonts w:cs="Times New Roman"/>
        </w:rPr>
      </w:pPr>
      <w:r>
        <w:rPr>
          <w:sz w:val="24"/>
          <w:szCs w:val="24"/>
        </w:rPr>
        <w:t>Class: 7 BCA A</w:t>
      </w:r>
    </w:p>
    <w:p w14:paraId="28B9B27C" w14:textId="6A0B4759" w:rsidR="007445A0" w:rsidRPr="004E2E03" w:rsidRDefault="00000000" w:rsidP="004E2E03">
      <w:pPr>
        <w:spacing w:before="120" w:after="160"/>
        <w:jc w:val="center"/>
        <w:rPr>
          <w:rFonts w:cs="Times New Roman"/>
        </w:rPr>
      </w:pPr>
      <w:r>
        <w:rPr>
          <w:sz w:val="24"/>
          <w:szCs w:val="24"/>
        </w:rPr>
        <w:t>Registered Number: 2343065</w:t>
      </w:r>
    </w:p>
    <w:p w14:paraId="770112E3" w14:textId="77777777" w:rsidR="0004690D" w:rsidRPr="00EC5207" w:rsidRDefault="00000000">
      <w:pPr>
        <w:rPr>
          <w:rFonts w:cs="Times New Roman"/>
        </w:rPr>
      </w:pPr>
      <w:r w:rsidRPr="00EC5207">
        <w:rPr>
          <w:rFonts w:cs="Times New Roman"/>
        </w:rPr>
        <w:br w:type="page"/>
      </w:r>
    </w:p>
    <w:p w14:paraId="7F3E987B" w14:textId="77777777" w:rsidR="0004690D" w:rsidRPr="00EC5207" w:rsidRDefault="00000000">
      <w:pPr>
        <w:pStyle w:val="Heading1"/>
        <w:rPr>
          <w:rFonts w:ascii="Times New Roman" w:hAnsi="Times New Roman" w:cs="Times New Roman"/>
          <w:color w:val="auto"/>
        </w:rPr>
      </w:pPr>
      <w:r w:rsidRPr="00EC5207">
        <w:rPr>
          <w:rFonts w:ascii="Times New Roman" w:hAnsi="Times New Roman" w:cs="Times New Roman"/>
        </w:rPr>
        <w:lastRenderedPageBreak/>
        <w:t>1. Introduction to the Research Problem</w:t>
      </w:r>
    </w:p>
    <w:p w14:paraId="1F6C9701" w14:textId="77777777" w:rsidR="002806A9" w:rsidRDefault="0053762F">
      <w:pPr>
        <w:spacing w:after="160"/>
        <w:ind w:firstLine="567"/>
        <w:rPr>
          <w:rFonts w:cs="Times New Roman"/>
        </w:rPr>
      </w:pPr>
      <w:r w:rsidRPr="0053762F">
        <w:rPr>
          <w:rFonts w:cs="Times New Roman"/>
        </w:rPr>
        <w:t xml:space="preserve">Cold-Chain Logistics for Pharmaceuticals is an extremely sensitive area where short periods of time outside of temperature-controlled conditions can make life saving drugs/vaccines/biologic useless or harmful. An estimated 50% of all vaccines are lost (wasted) worldwide on a yearly basis; a substantial number of these lost vaccines are due to temperature control issues that occur when transporting &amp; storing vaccines. Temperature related loss has been estimated by pharmaceutical companies to be a staggering $35+ Billion dollars each year in terms of revenue. Temperature controlled product failures do not just have an economic impact. </w:t>
      </w:r>
      <w:r w:rsidR="002806A9" w:rsidRPr="002806A9">
        <w:rPr>
          <w:rFonts w:cs="Times New Roman"/>
        </w:rPr>
        <w:t>The implication if some compromise pharmaceutical products make it into patient</w:t>
      </w:r>
      <w:r w:rsidR="002806A9">
        <w:rPr>
          <w:rFonts w:cs="Times New Roman"/>
        </w:rPr>
        <w:t>’s</w:t>
      </w:r>
      <w:r w:rsidR="002806A9" w:rsidRPr="002806A9">
        <w:rPr>
          <w:rFonts w:cs="Times New Roman"/>
        </w:rPr>
        <w:t xml:space="preserve"> hands is the occurrence of adverse events, decreased patient confidence in the healthcare system and potential for regulatory fallout for manufactures and distributors.</w:t>
      </w:r>
    </w:p>
    <w:p w14:paraId="23E9BFA1" w14:textId="77777777" w:rsidR="0053762F" w:rsidRDefault="0053762F">
      <w:pPr>
        <w:spacing w:after="160"/>
        <w:ind w:firstLine="567"/>
        <w:rPr>
          <w:rFonts w:cs="Times New Roman"/>
        </w:rPr>
      </w:pPr>
      <w:r w:rsidRPr="0053762F">
        <w:rPr>
          <w:rFonts w:cs="Times New Roman"/>
        </w:rPr>
        <w:t>The traditional approach for monitoring in a cold chain is based upon using static thresholds with an alarm generated by alerting systems once a sensor measurement surpasses a predetermined value (for example when the temperature exceeds 8°C). Although these types of systems are relatively easy to create; however, there exist two significant problems. Firstly, the excessive number of false positive alarms caused by transient sensor noise, opening doors while the products were being loaded into the container, and/or environmental fluctuations will cause "alert fatigue" for logistics operations personnel. Secondly, and perhaps more damagingly, these threshold-based systems do not have the ability to identify what is called "silent failures", which can occur as a result of long-term thermal damage to the product quality, the existence of temperature differences in space throughout the container(s), and/or bias in how sensors are placed relative to the location of potential temperature deviations. Silent failures are considered the most hazardous type of failure of a cold chain because they go completely undetected.</w:t>
      </w:r>
    </w:p>
    <w:p w14:paraId="59695B27" w14:textId="77777777" w:rsidR="002806A9" w:rsidRDefault="002806A9" w:rsidP="002806A9">
      <w:pPr>
        <w:spacing w:after="240"/>
        <w:ind w:firstLine="567"/>
        <w:rPr>
          <w:rFonts w:cs="Times New Roman"/>
        </w:rPr>
      </w:pPr>
      <w:r w:rsidRPr="002806A9">
        <w:rPr>
          <w:rFonts w:cs="Times New Roman"/>
        </w:rPr>
        <w:t>Internet of Things (IoT) sensors have rapidly expanded the number and granularity of cold-chain data available for post-shipment analysis. Contemporary shipments could now potentially have data streams for multiple dimensions including temperature, humidity, light exposure, door events, vibration and gps coordinates collected every thirty seconds! With such a density of information, modern ML/DL can advance past simple threshold breaches of shipment parameters to actually predictive failure analysis of impending disruptions. But introducing ‘black box’</w:t>
      </w:r>
      <w:r>
        <w:rPr>
          <w:rFonts w:cs="Times New Roman"/>
        </w:rPr>
        <w:t xml:space="preserve"> </w:t>
      </w:r>
      <w:r w:rsidRPr="002806A9">
        <w:rPr>
          <w:rFonts w:cs="Times New Roman"/>
        </w:rPr>
        <w:t>ML for pharma can have significant drawbacks related to trust, compliance and accountability. What action needs to be taken with a shipment identified as high risk? Data managers and QA teams need to understand why it was identified, making Explainable AI (XAI) approaches like LIME and SHAP a priority in ML-based cold-chain systems.</w:t>
      </w:r>
    </w:p>
    <w:p w14:paraId="39DAD4F0" w14:textId="77777777" w:rsidR="0053762F" w:rsidRPr="00EC5207" w:rsidRDefault="002806A9">
      <w:pPr>
        <w:spacing w:after="240"/>
        <w:ind w:firstLine="567"/>
        <w:rPr>
          <w:rFonts w:cs="Times New Roman"/>
        </w:rPr>
      </w:pPr>
      <w:r w:rsidRPr="002806A9">
        <w:rPr>
          <w:rFonts w:cs="Times New Roman"/>
        </w:rPr>
        <w:t>The literature survey presented here discusses two, three and 20 papers published between years 2021 - 2025, and all of these articles can be classified and categorised within four main themes representing the proposed research topic: cold-chain anomaly detection, IoT-based monitoring systems, pharmaceutical supply chain intelligence, machine learning-based time-series predictions, and explainable AI for logistics decision support. The research contribution can thus be contextualised with The “IceBreaking - Improved Isolation Forest algorithm to mine anomalous data streams in cold chain""" as a reference paper. We want to develop on the work in the base paper to provide a new research contribution of developing a machine learning-based predictive explainable model for Cold-Chain Disruptions modeling.</w:t>
      </w:r>
    </w:p>
    <w:p w14:paraId="1B27D900" w14:textId="77777777" w:rsidR="0004690D" w:rsidRPr="00EC5207" w:rsidRDefault="00000000">
      <w:pPr>
        <w:pStyle w:val="Heading1"/>
        <w:rPr>
          <w:rFonts w:ascii="Times New Roman" w:hAnsi="Times New Roman" w:cs="Times New Roman"/>
          <w:color w:val="auto"/>
        </w:rPr>
      </w:pPr>
      <w:r w:rsidRPr="00EC5207">
        <w:rPr>
          <w:rFonts w:ascii="Times New Roman" w:hAnsi="Times New Roman" w:cs="Times New Roman"/>
        </w:rPr>
        <w:lastRenderedPageBreak/>
        <w:t>2. Literature Review</w:t>
      </w:r>
    </w:p>
    <w:p w14:paraId="62BC985C" w14:textId="77777777" w:rsidR="002806A9" w:rsidRDefault="002806A9">
      <w:pPr>
        <w:spacing w:after="120"/>
        <w:rPr>
          <w:rFonts w:cs="Times New Roman"/>
        </w:rPr>
      </w:pPr>
      <w:r w:rsidRPr="002806A9">
        <w:rPr>
          <w:rFonts w:cs="Times New Roman"/>
        </w:rPr>
        <w:t>The 20 surveyed papers naturally form 5 subject matter categories namely (a) cold-chain anomaly detection and monitoring, (b) Isolation Forest and modern anomaly detection methods, (c) cold-chain time series and deep learning, (d) pharmaceuticals and vaccine cold-chains, and (e) explainable AI, predictive risk, and support to decision making. Section subsections briefly analyze the contained papers from each category.</w:t>
      </w:r>
    </w:p>
    <w:p w14:paraId="782DE692" w14:textId="77777777" w:rsidR="0004690D" w:rsidRPr="00EC5207" w:rsidRDefault="00000000">
      <w:pPr>
        <w:pStyle w:val="Heading2"/>
        <w:rPr>
          <w:rFonts w:ascii="Times New Roman" w:hAnsi="Times New Roman" w:cs="Times New Roman"/>
          <w:color w:val="auto"/>
        </w:rPr>
      </w:pPr>
      <w:r w:rsidRPr="00EC5207">
        <w:rPr>
          <w:rFonts w:ascii="Times New Roman" w:hAnsi="Times New Roman" w:cs="Times New Roman"/>
          <w:color w:val="2C2C44"/>
        </w:rPr>
        <w:t>2.1 Cold-Chain Anomaly Detection and Monitoring</w:t>
      </w:r>
    </w:p>
    <w:p w14:paraId="13F3777D" w14:textId="77777777" w:rsidR="002806A9" w:rsidRDefault="002806A9">
      <w:pPr>
        <w:spacing w:after="120"/>
        <w:ind w:firstLine="567"/>
        <w:rPr>
          <w:rFonts w:cs="Times New Roman"/>
        </w:rPr>
      </w:pPr>
      <w:r w:rsidRPr="002806A9">
        <w:rPr>
          <w:rFonts w:cs="Times New Roman"/>
        </w:rPr>
        <w:t>The work done by Xie et al (2025) [BASE PAPER] focuses exactly on the main problem - detection of anomalies in CCL data streams. The authors analyzed CCL data streams, defined data flow using sliding window and proposed mathematical models for flow control and Correlation Coefficients for detecting three type of abnormal events. This method contributes an effective enhanced iForest (eiForest) that uses subsampling and a cross factor for overcoming the swamping and masking issues faced by the classical iForest. Experimental study and evaluation of the proposed scheme results in performance such as Average F1-score of 0.8639 and average AUC of 0.9064; where this method gives the performance even higher than SVM, LOF and the classical iForest; specifically on large dimensionality of data but the processing time was higher than classical iForest and no existing open source data sets are taken for performance validation.</w:t>
      </w:r>
    </w:p>
    <w:p w14:paraId="7E3BA10A" w14:textId="77777777" w:rsidR="002806A9" w:rsidRDefault="002806A9">
      <w:pPr>
        <w:spacing w:after="120"/>
        <w:ind w:firstLine="567"/>
        <w:rPr>
          <w:rFonts w:cs="Times New Roman"/>
        </w:rPr>
      </w:pPr>
      <w:r w:rsidRPr="002806A9">
        <w:rPr>
          <w:rFonts w:cs="Times New Roman"/>
        </w:rPr>
        <w:t>The Gillespie et al</w:t>
      </w:r>
      <w:r>
        <w:rPr>
          <w:rFonts w:cs="Times New Roman"/>
        </w:rPr>
        <w:t>.</w:t>
      </w:r>
      <w:r w:rsidRPr="002806A9">
        <w:rPr>
          <w:rFonts w:cs="Times New Roman"/>
        </w:rPr>
        <w:t xml:space="preserve"> (2023) study develops a working prototype for real-time cold chain logistics anomaly detection using an IoT based system. As a bonus for practitioners their research utilizes commercial, real-world transportation trucks moving food products within Northern Ireland and Ireland and provide real world proof of concept that kNN based anomaly detection can reach accuracy levels as high as 94.2 percent, with a 67 percent lower false positive rate than systems employing only simple thresholds. Their research also addresses practical implementation problems associated with calibrating sensors in extreme cold and they emphasize that unique IoT hardware is required to accurately capture data on moving trucks. However their work, as discussed above, is restricted to a single travel path between locations and does not offer any forecasting capabilities.</w:t>
      </w:r>
    </w:p>
    <w:p w14:paraId="509E0A65" w14:textId="77777777" w:rsidR="002806A9" w:rsidRDefault="002806A9" w:rsidP="002806A9">
      <w:pPr>
        <w:spacing w:after="120"/>
        <w:ind w:firstLine="567"/>
        <w:rPr>
          <w:rFonts w:cs="Times New Roman"/>
        </w:rPr>
      </w:pPr>
      <w:r w:rsidRPr="002806A9">
        <w:rPr>
          <w:rFonts w:cs="Times New Roman"/>
        </w:rPr>
        <w:t>False temperature alarm problem Meng et al. (2024) identify another interesting problem in the cold chain: false alarm in cold chain logistics operations. They propose a cost effective alarm system based on ANN classification in false alarm reduction in cold chain logistics, achieving 58% reduce cost of the investigation by up to 91% classification accuracy. While this method focuses on alarming but in narrow range and not as broad as those methods described in other full anomaly detection framework.</w:t>
      </w:r>
    </w:p>
    <w:p w14:paraId="5A01B801" w14:textId="77777777" w:rsidR="002806A9" w:rsidRDefault="002806A9" w:rsidP="002806A9">
      <w:pPr>
        <w:spacing w:after="120"/>
        <w:ind w:firstLine="567"/>
        <w:rPr>
          <w:rFonts w:cs="Times New Roman"/>
        </w:rPr>
      </w:pPr>
      <w:r w:rsidRPr="002806A9">
        <w:rPr>
          <w:rFonts w:cs="Times New Roman"/>
        </w:rPr>
        <w:t>Following our discussion on monitoring, Cil et al. (2022) introduce IoT into the container-port scenario to showcase real time IoT based monitoring resulting in a 100% container viewability with 2-min container excursion detection, and 82% reduction of manual inspection time. Although based on a threshold detection method without IoT for anomaly inspection based on machine learning techniques, the IoT device in Cil et al. (2022) provides an empirical confirmation for the practical value of IoT infrastructure in a cold-chain setting and suggests that it should also involve IoT for deeper analysis using machine learning techniques beyond thresholds.</w:t>
      </w:r>
    </w:p>
    <w:p w14:paraId="0EFCED1C" w14:textId="77777777" w:rsidR="0004690D" w:rsidRPr="00EC5207" w:rsidRDefault="00000000" w:rsidP="002806A9">
      <w:pPr>
        <w:spacing w:after="120"/>
        <w:rPr>
          <w:rFonts w:cs="Times New Roman"/>
        </w:rPr>
      </w:pPr>
      <w:r w:rsidRPr="002806A9">
        <w:rPr>
          <w:rFonts w:eastAsiaTheme="majorEastAsia" w:cs="Times New Roman"/>
          <w:b/>
          <w:bCs/>
          <w:sz w:val="26"/>
          <w:szCs w:val="26"/>
        </w:rPr>
        <w:t>2</w:t>
      </w:r>
      <w:r w:rsidR="002806A9">
        <w:rPr>
          <w:rFonts w:eastAsiaTheme="majorEastAsia" w:cs="Times New Roman"/>
          <w:b/>
          <w:bCs/>
          <w:sz w:val="26"/>
          <w:szCs w:val="26"/>
        </w:rPr>
        <w:t>.2</w:t>
      </w:r>
      <w:r w:rsidRPr="002806A9">
        <w:rPr>
          <w:rFonts w:eastAsiaTheme="majorEastAsia" w:cs="Times New Roman"/>
          <w:b/>
          <w:bCs/>
          <w:sz w:val="26"/>
          <w:szCs w:val="26"/>
        </w:rPr>
        <w:t xml:space="preserve"> Isolation Forest and Advanced Anomaly Detection Algorithms</w:t>
      </w:r>
    </w:p>
    <w:p w14:paraId="1821107C" w14:textId="77777777" w:rsidR="0086519A" w:rsidRDefault="002806A9" w:rsidP="002806A9">
      <w:pPr>
        <w:spacing w:after="120"/>
        <w:ind w:firstLine="567"/>
        <w:rPr>
          <w:rFonts w:cs="Times New Roman"/>
        </w:rPr>
      </w:pPr>
      <w:r w:rsidRPr="002806A9">
        <w:rPr>
          <w:rFonts w:cs="Times New Roman"/>
        </w:rPr>
        <w:lastRenderedPageBreak/>
        <w:t>A natural follow-up with a fundamental novelty. Xu et al. (2022) developed Deep Isolation Forest (DIF) by integrating representation learning by neural networks and random-partition based isolation. DIF maps the data into an optimized representational space where it is easier to isolate anomalies. They achieved an AUC score average of 0.943 on 10 benchmark datasets, which are higher than iForest, RRCF, COPOD, and DeepSVDD, DAGMM. The new method is highly related because the proposed better version of iForest could adopt DIF for learning representations, and it’s especially crucial when dealing with non-linear relationships often observed in multi-sensor cold-chain data. Nonetheless, DIF costs much more computation time to deploy in real-time applications.</w:t>
      </w:r>
    </w:p>
    <w:p w14:paraId="47821932" w14:textId="77777777" w:rsidR="0086519A" w:rsidRDefault="0086519A" w:rsidP="002806A9">
      <w:pPr>
        <w:spacing w:after="120"/>
        <w:ind w:firstLine="567"/>
        <w:rPr>
          <w:rFonts w:cs="Times New Roman"/>
        </w:rPr>
      </w:pPr>
      <w:r w:rsidRPr="0086519A">
        <w:rPr>
          <w:rFonts w:cs="Times New Roman"/>
        </w:rPr>
        <w:t>The Kaggle Cold Chain Shipment Silent Failure Dataset, provided by Skarin et al. (2024), will be the critical data asset for this area of study. This data is comprise 30,000+ shipment entries with data on temperature, humidity, vibration, door status, and failure outcomes, and specifically designed as a benchmarking dataset of ML models attempting to detect silent failures, in which shipment quality declines without an alert by the equipment. Using a baseline analysis on their data, Gradient Boosting produced an F1-Score of 0.89, whereas Random Forest produced an AUC of 0.92. This dataset serves as the defined validation benchmark for the current project, with the baseline figures used to set the performance standards the proposed explainable predictive models will seek to surpass.</w:t>
      </w:r>
    </w:p>
    <w:p w14:paraId="650D7D30" w14:textId="77777777" w:rsidR="0004690D" w:rsidRPr="00EC5207" w:rsidRDefault="00000000">
      <w:pPr>
        <w:pStyle w:val="Heading2"/>
        <w:rPr>
          <w:rFonts w:ascii="Times New Roman" w:hAnsi="Times New Roman" w:cs="Times New Roman"/>
          <w:color w:val="auto"/>
        </w:rPr>
      </w:pPr>
      <w:r w:rsidRPr="00EC5207">
        <w:rPr>
          <w:rFonts w:ascii="Times New Roman" w:hAnsi="Times New Roman" w:cs="Times New Roman"/>
          <w:color w:val="2C2C44"/>
        </w:rPr>
        <w:t>2.3 Deep Learning for Cold-Chain Time-Series</w:t>
      </w:r>
    </w:p>
    <w:p w14:paraId="5188751A" w14:textId="77777777" w:rsidR="0086519A" w:rsidRDefault="0086519A">
      <w:pPr>
        <w:spacing w:after="120"/>
        <w:ind w:firstLine="567"/>
        <w:rPr>
          <w:rFonts w:cs="Times New Roman"/>
        </w:rPr>
      </w:pPr>
      <w:r w:rsidRPr="0086519A">
        <w:rPr>
          <w:rFonts w:cs="Times New Roman"/>
        </w:rPr>
        <w:t>Chen et al. (2024) have managed to deploy LSTM-Autoencoder models to embedded devices with limited computational capabilities (ESP32) to be able to detect anomalies in vaccine refrigerators in real-time. This TinyML application presents a good F1-Score of 0.94 with latency &lt; 100 ms and a model footprint of 48 KB, showing how deep learning on the edge can be used for cold-chain applications. This is related to the project presented here, since the LSTM model deployed on the devices is able to detect anomalies at the source where the data is being generated, avoiding communication to the cloud.</w:t>
      </w:r>
    </w:p>
    <w:p w14:paraId="7B01380A" w14:textId="77777777" w:rsidR="0086519A" w:rsidRDefault="0086519A">
      <w:pPr>
        <w:spacing w:after="120"/>
        <w:ind w:firstLine="567"/>
        <w:rPr>
          <w:rFonts w:cs="Times New Roman"/>
        </w:rPr>
      </w:pPr>
      <w:r w:rsidRPr="0086519A">
        <w:rPr>
          <w:rFonts w:cs="Times New Roman"/>
        </w:rPr>
        <w:t>In Zhang et al. (2024), authors also leverage self-attention based Transformer models and apply on cold-chain logistics time series data. They design an effective model based on Transformer that addresses challenges in LSTM for long-term sequential dependencies, and achieved an F1-Score of 0.92, Precision of 0.90, Recall of 0.94, and AUC of 0.96. The Transformer model yields 4% F1-Score gain against the LSTM-Autoencoder. The inherent temporal explanation of Transformer by highlighting which time series elements are responsible for an anomaly prediction seems implicitly introduced although SHAP for the Transformer has not yet been introduced.</w:t>
      </w:r>
    </w:p>
    <w:p w14:paraId="78CFD06A" w14:textId="77777777" w:rsidR="0086519A" w:rsidRDefault="0086519A">
      <w:pPr>
        <w:spacing w:after="120"/>
        <w:ind w:firstLine="567"/>
        <w:rPr>
          <w:rFonts w:cs="Times New Roman"/>
        </w:rPr>
      </w:pPr>
      <w:r w:rsidRPr="0086519A">
        <w:rPr>
          <w:rFonts w:cs="Times New Roman"/>
        </w:rPr>
        <w:t>For example, Wang et al. (2024) developed a K-Medoids-LSTM-XGBoost based model. This multi-model based strategy used spatial clustering (K-Medoids) for temperature segmentation and combined temporal predicting (LSTM) with residual correction (XGBoost) leading to impressive results with RMSE 0.31C, MAE 0.24C and R 0.97, outperforming simple LSTM by 18% for RMSE. Combining different models from the same as well as across families is, thus, a worthy approach.</w:t>
      </w:r>
    </w:p>
    <w:p w14:paraId="577B6B37" w14:textId="77777777" w:rsidR="0004690D" w:rsidRDefault="0086519A">
      <w:pPr>
        <w:spacing w:after="120"/>
        <w:ind w:firstLine="567"/>
        <w:rPr>
          <w:rFonts w:cs="Times New Roman"/>
        </w:rPr>
      </w:pPr>
      <w:r w:rsidRPr="0086519A">
        <w:rPr>
          <w:rFonts w:cs="Times New Roman"/>
        </w:rPr>
        <w:t xml:space="preserve">To tackle these challenges with realistic cold-chain sensor data, Martinez et al. (2025) propose GAN-based denoising to achieve improvements in signal to noise ratio up to 12 dB, and an anomaly detection F1-Score of 0.91 and 15-min predictive alert time. A common practical limitation on academic solutions is sensor noise encountered in actual cold-chain settings that often degrades anomaly detection </w:t>
      </w:r>
      <w:r w:rsidR="005F776C" w:rsidRPr="005F776C">
        <w:rPr>
          <w:rFonts w:cs="Times New Roman"/>
        </w:rPr>
        <w:t>performance. The GAN based pre-processing could be adapted in the proposed research pipeline as a data quality enhancement procedure.</w:t>
      </w:r>
    </w:p>
    <w:p w14:paraId="34CD0ECC" w14:textId="77777777" w:rsidR="005F776C" w:rsidRPr="00EC5207" w:rsidRDefault="005F776C" w:rsidP="005F776C">
      <w:pPr>
        <w:pStyle w:val="Heading2"/>
        <w:rPr>
          <w:rFonts w:ascii="Times New Roman" w:hAnsi="Times New Roman" w:cs="Times New Roman"/>
          <w:color w:val="auto"/>
        </w:rPr>
      </w:pPr>
      <w:r w:rsidRPr="00EC5207">
        <w:rPr>
          <w:rFonts w:ascii="Times New Roman" w:hAnsi="Times New Roman" w:cs="Times New Roman"/>
          <w:color w:val="2C2C44"/>
        </w:rPr>
        <w:lastRenderedPageBreak/>
        <w:t>2.4 Pharmaceutical and Vaccine Cold-Chain Intelligence</w:t>
      </w:r>
    </w:p>
    <w:p w14:paraId="39BD7E94" w14:textId="77777777" w:rsidR="0086519A" w:rsidRPr="0086519A" w:rsidRDefault="0086519A" w:rsidP="0086519A">
      <w:pPr>
        <w:spacing w:after="120"/>
        <w:rPr>
          <w:rFonts w:cs="Times New Roman"/>
        </w:rPr>
      </w:pPr>
      <w:r w:rsidRPr="0086519A">
        <w:rPr>
          <w:rFonts w:cs="Times New Roman"/>
        </w:rPr>
        <w:t xml:space="preserve">In their paper “An IoT-enabled system for managing the vaccine supply chain sustainable in resource-limited developing country”, Jiang et al. (2024) propose an IoT system for sustainable vaccine cold-chain management and report a temperature compliance rate of 98.5% with a 73% decrease in manual data logging in real-world settings. Their study supports the business case of leveraging IoT for logistics and supply chain operations, however it does not take full advantage of IoT by providing the ML-based prediction of disruptions. In fact, they themselves acknowledge the integration of ML-driven predictive insights as a crucial area of future research and a motivation for future work, hence direct relevance for the work proposed herein. </w:t>
      </w:r>
    </w:p>
    <w:p w14:paraId="35ADBEC5" w14:textId="77777777" w:rsidR="0086519A" w:rsidRPr="0086519A" w:rsidRDefault="0086519A" w:rsidP="0086519A">
      <w:pPr>
        <w:spacing w:after="120"/>
        <w:rPr>
          <w:rFonts w:cs="Times New Roman"/>
        </w:rPr>
      </w:pPr>
      <w:r w:rsidRPr="0086519A">
        <w:rPr>
          <w:rFonts w:cs="Times New Roman"/>
        </w:rPr>
        <w:t xml:space="preserve">Similarly to Jiang et al., Hu et al. (2023) introduce an intelligent vaccine supply chain management system that includes blockchain (Hyperledger Fabric), IoT for temperature monitoring, and a Random Forest algorithm for demand forecasting. Their results include 8.2% MAPE for demand forecasts and 450 TPS for blockchain transactions with 99.7% integrity of data. However, despite using blockchain to guarantee the integrity of pharmaceutical supply chain data, anomaly detection is based on a relatively basic rule-based system, and the model has limitations concerning individual prediction explainability. Finally, Hezam et al. (2024) explore the applicability of AI techniques in drug delivery within healthcare supply chains. Their machine learning models are used for delivery time prediction, achieving 93.7% prediction accuracy, and the study shows that temperature is the second most important feature for delivery prediction. </w:t>
      </w:r>
    </w:p>
    <w:p w14:paraId="657C5E96" w14:textId="77777777" w:rsidR="0086519A" w:rsidRDefault="0086519A" w:rsidP="0086519A">
      <w:pPr>
        <w:spacing w:after="120"/>
        <w:rPr>
          <w:rFonts w:cs="Times New Roman"/>
        </w:rPr>
      </w:pPr>
      <w:r w:rsidRPr="0086519A">
        <w:rPr>
          <w:rFonts w:cs="Times New Roman"/>
        </w:rPr>
        <w:t>Therefore, their study corroborates the focus on temperature as key predictor that should be exploited for temperature-aware logistics predictive modeling. Yet, they do not consider real-time monitoring data from an IoT infrastructure, and neither the system they propose includes ML-driven explanations for individual predictions.</w:t>
      </w:r>
    </w:p>
    <w:p w14:paraId="6F458438" w14:textId="77777777" w:rsidR="0004690D" w:rsidRPr="00EC5207" w:rsidRDefault="00000000" w:rsidP="0086519A">
      <w:pPr>
        <w:pStyle w:val="Heading2"/>
        <w:rPr>
          <w:rFonts w:ascii="Times New Roman" w:hAnsi="Times New Roman" w:cs="Times New Roman"/>
          <w:color w:val="auto"/>
        </w:rPr>
      </w:pPr>
      <w:r w:rsidRPr="00EC5207">
        <w:rPr>
          <w:rFonts w:ascii="Times New Roman" w:hAnsi="Times New Roman" w:cs="Times New Roman"/>
          <w:color w:val="2C2C44"/>
        </w:rPr>
        <w:t>2.5 Explainable AI, Predictive Risk, and Decision Support</w:t>
      </w:r>
    </w:p>
    <w:p w14:paraId="58EE4F7B" w14:textId="77777777" w:rsidR="0086519A" w:rsidRPr="0086519A" w:rsidRDefault="0086519A" w:rsidP="0086519A">
      <w:pPr>
        <w:spacing w:after="120"/>
        <w:rPr>
          <w:rFonts w:cs="Times New Roman"/>
        </w:rPr>
      </w:pPr>
      <w:r w:rsidRPr="0086519A">
        <w:rPr>
          <w:rFonts w:cs="Times New Roman"/>
        </w:rPr>
        <w:t xml:space="preserve">Islam et al. (2025) proposes an explainable ML framework with SHAP and LIME for delivery delays in smart supply chains. Using XGBoost, they achieve a 96.3% accuracy with a 0.95 F1-Score. SHAP explains their predictions, identifying weather severity, distance, and shipment weight as the three top risk factors. The proposed framework is most similar in nature to the explainability goals of the present research, demonstrating the potential of SHAP for understanding complex supply chain risk models at a feature-level. </w:t>
      </w:r>
    </w:p>
    <w:p w14:paraId="496BF454" w14:textId="77777777" w:rsidR="0086519A" w:rsidRDefault="0086519A" w:rsidP="0086519A">
      <w:pPr>
        <w:spacing w:after="120"/>
        <w:rPr>
          <w:rFonts w:cs="Times New Roman"/>
        </w:rPr>
      </w:pPr>
      <w:r w:rsidRPr="0086519A">
        <w:rPr>
          <w:rFonts w:cs="Times New Roman"/>
        </w:rPr>
        <w:t xml:space="preserve">However, the framework does not utilize specific data characteristic of cold-chain operations and only addresses general supply chain data. Li et al. (2023) employs SHAP-based explainability within the domain of predictive maintenance in industrial IoT. Their LightGBM model employing SHAP TreeExplainer can successfully predict remaining useful life with an R value of 0.94 and can attribute sensor reading deviations to specific degradation features. Methodologically, this work offers valuable guidance in the application of SHAP to cold-chain components, such as refrigerators and other cooling devices. In the future, a similar approach will be adapted for explaining sensor-based predictions of failure and deviations of cold chain equipment. </w:t>
      </w:r>
    </w:p>
    <w:p w14:paraId="4D8921C4" w14:textId="77777777" w:rsidR="0086519A" w:rsidRDefault="0086519A" w:rsidP="0086519A">
      <w:pPr>
        <w:spacing w:after="120"/>
        <w:rPr>
          <w:rFonts w:cs="Times New Roman"/>
        </w:rPr>
      </w:pPr>
      <w:r w:rsidRPr="0086519A">
        <w:rPr>
          <w:rFonts w:cs="Times New Roman"/>
        </w:rPr>
        <w:t xml:space="preserve">Konovalenko and Ludwig (2021) compare eight ML classifiers on a dataset for temperature alarm classification within pharmaceutical supply chains. XGBoost proves to be the most adept classifier in this </w:t>
      </w:r>
      <w:r w:rsidRPr="0086519A">
        <w:rPr>
          <w:rFonts w:cs="Times New Roman"/>
        </w:rPr>
        <w:lastRenderedPageBreak/>
        <w:t xml:space="preserve">task, achieving 97.8% accuracy and an F1-Score between 0.92 and 0.97. The analysis of this research provides a useful benchmark against which future algorithm performance can be compared, and validates the effectiveness of gradient boosting algorithms in predicting temperature deviations within a logistics setting, such as that of a pharmaceutical supply chain. </w:t>
      </w:r>
    </w:p>
    <w:p w14:paraId="20E14195" w14:textId="77777777" w:rsidR="0086519A" w:rsidRPr="0086519A" w:rsidRDefault="0086519A" w:rsidP="0086519A">
      <w:pPr>
        <w:spacing w:after="120"/>
        <w:rPr>
          <w:rFonts w:cs="Times New Roman"/>
        </w:rPr>
      </w:pPr>
      <w:r w:rsidRPr="0086519A">
        <w:rPr>
          <w:rFonts w:cs="Times New Roman"/>
        </w:rPr>
        <w:t xml:space="preserve">Sattar et al. (2025) provides a broader comparative study that assesses eight ML algorithms with a cost-accuracy trade-off for predictions on the DataCo Smart Supply Chain Dataset. LightGBM, with 97.1% accuracy, is shown to train in a considerably shorter time (3.2 seconds versus 47 seconds for neural networks), demonstrating the practicality of tree-based ensembles for such applications. This supports the focus on gradient boosting methods for the proposed cold-chain disruption model. </w:t>
      </w:r>
    </w:p>
    <w:p w14:paraId="7C9DC1C0" w14:textId="77777777" w:rsidR="0086519A" w:rsidRDefault="0086519A" w:rsidP="0086519A">
      <w:pPr>
        <w:spacing w:after="120"/>
        <w:rPr>
          <w:rFonts w:cs="Times New Roman"/>
        </w:rPr>
      </w:pPr>
      <w:r w:rsidRPr="0086519A">
        <w:rPr>
          <w:rFonts w:cs="Times New Roman"/>
        </w:rPr>
        <w:t>Wu et al. (2023) proposes a digital-twin service platform for cold-chain logistics and achieve a temperature prediction RMSE of 0.42°C and a 30% reduction in response times to excursions by leveraging an IoE connectivity and real-time simulation. To supplement this, Nozari et al. (2025) introduces a system that, using AIoT, minimizes cold chain operating costs by 26% and transportation expenses by 60%. Douaioui et al. (2024) presents a systematic survey and categorization of ML and DL techniques for demand forecasting applications in supply chains, identifying that the typical error reduction (MAPE) for LSTM and CNN-LSTM are between 15% and 25% compared with classical approaches, and is regarded as the state-of-the-art in the field. This work is helpful as it offers insights into the implementation of DL models for this area.</w:t>
      </w:r>
    </w:p>
    <w:p w14:paraId="4B1ECDAC" w14:textId="77777777" w:rsidR="0004690D" w:rsidRPr="00EC5207" w:rsidRDefault="00000000" w:rsidP="0086519A">
      <w:pPr>
        <w:pStyle w:val="Heading1"/>
        <w:rPr>
          <w:rFonts w:ascii="Times New Roman" w:hAnsi="Times New Roman" w:cs="Times New Roman"/>
          <w:color w:val="auto"/>
        </w:rPr>
      </w:pPr>
      <w:r w:rsidRPr="00EC5207">
        <w:rPr>
          <w:rFonts w:ascii="Times New Roman" w:hAnsi="Times New Roman" w:cs="Times New Roman"/>
        </w:rPr>
        <w:t>3. Comparative Analysis of Existing Methods</w:t>
      </w:r>
    </w:p>
    <w:p w14:paraId="77C5211D" w14:textId="77777777" w:rsidR="0004690D" w:rsidRPr="00EC5207" w:rsidRDefault="0086519A">
      <w:pPr>
        <w:spacing w:after="160"/>
        <w:rPr>
          <w:rFonts w:cs="Times New Roman"/>
        </w:rPr>
      </w:pPr>
      <w:r w:rsidRPr="0086519A">
        <w:rPr>
          <w:rFonts w:cs="Times New Roman"/>
        </w:rPr>
        <w:t>Here is a side-by-side analysis of the 20 discussed papers across the five critical categories (i.e. Core ML/DL method, reactive vs predictive type detection strategy, explainability in use, dataset classification, best presented performance measure), presented on Table 1. While there’s evidence of a movement from threshold-based reactive monitoring towards ML for a predictive approach, the research still lacks on integrating explainability with predictive cold chain models.</w:t>
      </w:r>
    </w:p>
    <w:tbl>
      <w:tblPr>
        <w:tblStyle w:val="LightGrid-Accent1"/>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
        <w:gridCol w:w="1682"/>
        <w:gridCol w:w="2054"/>
        <w:gridCol w:w="1681"/>
        <w:gridCol w:w="1121"/>
        <w:gridCol w:w="2334"/>
      </w:tblGrid>
      <w:tr w:rsidR="00EC5207" w:rsidRPr="00EC5207" w14:paraId="0396A409" w14:textId="77777777" w:rsidTr="000469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1A1A2E"/>
            <w:vAlign w:val="center"/>
          </w:tcPr>
          <w:p w14:paraId="6094495F" w14:textId="77777777" w:rsidR="0004690D" w:rsidRPr="00EC5207" w:rsidRDefault="00000000">
            <w:pPr>
              <w:spacing w:before="40" w:after="40"/>
              <w:jc w:val="center"/>
              <w:rPr>
                <w:rFonts w:cs="Times New Roman"/>
              </w:rPr>
            </w:pPr>
            <w:r w:rsidRPr="00EC5207">
              <w:rPr>
                <w:rFonts w:cs="Times New Roman"/>
                <w:color w:val="FFFFFF"/>
                <w:sz w:val="17"/>
              </w:rPr>
              <w:t>#</w:t>
            </w:r>
          </w:p>
        </w:tc>
        <w:tc>
          <w:tcPr>
            <w:tcW w:w="1685" w:type="dxa"/>
            <w:shd w:val="clear" w:color="auto" w:fill="1A1A2E"/>
            <w:vAlign w:val="center"/>
          </w:tcPr>
          <w:p w14:paraId="33CFBAD2" w14:textId="77777777" w:rsidR="0004690D" w:rsidRPr="00EC5207" w:rsidRDefault="00000000">
            <w:pPr>
              <w:spacing w:before="40"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5207">
              <w:rPr>
                <w:rFonts w:cs="Times New Roman"/>
                <w:color w:val="FFFFFF"/>
                <w:sz w:val="17"/>
              </w:rPr>
              <w:t>Study</w:t>
            </w:r>
          </w:p>
        </w:tc>
        <w:tc>
          <w:tcPr>
            <w:tcW w:w="2059" w:type="dxa"/>
            <w:shd w:val="clear" w:color="auto" w:fill="1A1A2E"/>
            <w:vAlign w:val="center"/>
          </w:tcPr>
          <w:p w14:paraId="433EE70D" w14:textId="77777777" w:rsidR="0004690D" w:rsidRPr="00EC5207" w:rsidRDefault="00000000">
            <w:pPr>
              <w:spacing w:before="40"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5207">
              <w:rPr>
                <w:rFonts w:cs="Times New Roman"/>
                <w:color w:val="FFFFFF"/>
                <w:sz w:val="17"/>
              </w:rPr>
              <w:t>Primary Method</w:t>
            </w:r>
          </w:p>
        </w:tc>
        <w:tc>
          <w:tcPr>
            <w:tcW w:w="1685" w:type="dxa"/>
            <w:shd w:val="clear" w:color="auto" w:fill="1A1A2E"/>
            <w:vAlign w:val="center"/>
          </w:tcPr>
          <w:p w14:paraId="5F32B29D" w14:textId="77777777" w:rsidR="0004690D" w:rsidRPr="00EC5207" w:rsidRDefault="00000000">
            <w:pPr>
              <w:spacing w:before="40"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5207">
              <w:rPr>
                <w:rFonts w:cs="Times New Roman"/>
                <w:color w:val="FFFFFF"/>
                <w:sz w:val="17"/>
              </w:rPr>
              <w:t>Approach</w:t>
            </w:r>
          </w:p>
        </w:tc>
        <w:tc>
          <w:tcPr>
            <w:tcW w:w="1123" w:type="dxa"/>
            <w:shd w:val="clear" w:color="auto" w:fill="1A1A2E"/>
            <w:vAlign w:val="center"/>
          </w:tcPr>
          <w:p w14:paraId="36FB2985" w14:textId="77777777" w:rsidR="0004690D" w:rsidRPr="00EC5207" w:rsidRDefault="00000000">
            <w:pPr>
              <w:spacing w:before="40"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5207">
              <w:rPr>
                <w:rFonts w:cs="Times New Roman"/>
                <w:color w:val="FFFFFF"/>
                <w:sz w:val="17"/>
              </w:rPr>
              <w:t>XAI</w:t>
            </w:r>
          </w:p>
        </w:tc>
        <w:tc>
          <w:tcPr>
            <w:tcW w:w="2340" w:type="dxa"/>
            <w:shd w:val="clear" w:color="auto" w:fill="1A1A2E"/>
            <w:vAlign w:val="center"/>
          </w:tcPr>
          <w:p w14:paraId="5C74B027" w14:textId="77777777" w:rsidR="0004690D" w:rsidRPr="00EC5207" w:rsidRDefault="00000000">
            <w:pPr>
              <w:spacing w:before="40" w:after="40"/>
              <w:jc w:val="center"/>
              <w:cnfStyle w:val="100000000000" w:firstRow="1" w:lastRow="0" w:firstColumn="0" w:lastColumn="0" w:oddVBand="0" w:evenVBand="0" w:oddHBand="0" w:evenHBand="0" w:firstRowFirstColumn="0" w:firstRowLastColumn="0" w:lastRowFirstColumn="0" w:lastRowLastColumn="0"/>
              <w:rPr>
                <w:rFonts w:cs="Times New Roman"/>
              </w:rPr>
            </w:pPr>
            <w:r w:rsidRPr="00EC5207">
              <w:rPr>
                <w:rFonts w:cs="Times New Roman"/>
                <w:color w:val="FFFFFF"/>
                <w:sz w:val="17"/>
              </w:rPr>
              <w:t>Best Metric</w:t>
            </w:r>
          </w:p>
        </w:tc>
      </w:tr>
      <w:tr w:rsidR="00EC5207" w:rsidRPr="00EC5207" w14:paraId="5EF1527E"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451F94E8" w14:textId="77777777" w:rsidR="0004690D" w:rsidRPr="00EC5207" w:rsidRDefault="00000000">
            <w:pPr>
              <w:spacing w:before="40" w:after="40"/>
              <w:rPr>
                <w:rFonts w:cs="Times New Roman"/>
              </w:rPr>
            </w:pPr>
            <w:r w:rsidRPr="00EC5207">
              <w:rPr>
                <w:rFonts w:cs="Times New Roman"/>
                <w:sz w:val="16"/>
              </w:rPr>
              <w:t>1</w:t>
            </w:r>
          </w:p>
        </w:tc>
        <w:tc>
          <w:tcPr>
            <w:tcW w:w="1685" w:type="dxa"/>
            <w:shd w:val="clear" w:color="auto" w:fill="FFFFFF"/>
            <w:vAlign w:val="center"/>
          </w:tcPr>
          <w:p w14:paraId="67A0657D"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b/>
                <w:sz w:val="16"/>
              </w:rPr>
              <w:t xml:space="preserve">Xie et al. (2025) </w:t>
            </w:r>
            <w:r w:rsidRPr="00EC5207">
              <w:rPr>
                <w:rFonts w:cs="Segoe UI Symbol"/>
                <w:b/>
                <w:sz w:val="16"/>
              </w:rPr>
              <w:t>★</w:t>
            </w:r>
          </w:p>
        </w:tc>
        <w:tc>
          <w:tcPr>
            <w:tcW w:w="2059" w:type="dxa"/>
            <w:shd w:val="clear" w:color="auto" w:fill="FFFFFF"/>
            <w:vAlign w:val="center"/>
          </w:tcPr>
          <w:p w14:paraId="0F626B1E"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b/>
                <w:sz w:val="16"/>
              </w:rPr>
              <w:t>Improved iForest</w:t>
            </w:r>
          </w:p>
        </w:tc>
        <w:tc>
          <w:tcPr>
            <w:tcW w:w="1685" w:type="dxa"/>
            <w:shd w:val="clear" w:color="auto" w:fill="FFFFFF"/>
            <w:vAlign w:val="center"/>
          </w:tcPr>
          <w:p w14:paraId="4DB4174B"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b/>
                <w:sz w:val="16"/>
              </w:rPr>
              <w:t>Reactive</w:t>
            </w:r>
          </w:p>
        </w:tc>
        <w:tc>
          <w:tcPr>
            <w:tcW w:w="1123" w:type="dxa"/>
            <w:shd w:val="clear" w:color="auto" w:fill="FFFFFF"/>
            <w:vAlign w:val="center"/>
          </w:tcPr>
          <w:p w14:paraId="10EE7755"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b/>
                <w:sz w:val="16"/>
              </w:rPr>
              <w:t>No</w:t>
            </w:r>
          </w:p>
        </w:tc>
        <w:tc>
          <w:tcPr>
            <w:tcW w:w="2340" w:type="dxa"/>
            <w:shd w:val="clear" w:color="auto" w:fill="FFFFFF"/>
            <w:vAlign w:val="center"/>
          </w:tcPr>
          <w:p w14:paraId="2764BE9D"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b/>
                <w:sz w:val="16"/>
              </w:rPr>
              <w:t>F1: 0.86, AUC: 0.91</w:t>
            </w:r>
          </w:p>
        </w:tc>
      </w:tr>
      <w:tr w:rsidR="00EC5207" w:rsidRPr="00EC5207" w14:paraId="3875DA11"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6AF69439" w14:textId="77777777" w:rsidR="0004690D" w:rsidRPr="00EC5207" w:rsidRDefault="00000000">
            <w:pPr>
              <w:spacing w:before="40" w:after="40"/>
              <w:rPr>
                <w:rFonts w:cs="Times New Roman"/>
              </w:rPr>
            </w:pPr>
            <w:r w:rsidRPr="00EC5207">
              <w:rPr>
                <w:rFonts w:cs="Times New Roman"/>
                <w:sz w:val="16"/>
              </w:rPr>
              <w:t>2</w:t>
            </w:r>
          </w:p>
        </w:tc>
        <w:tc>
          <w:tcPr>
            <w:tcW w:w="1685" w:type="dxa"/>
            <w:shd w:val="clear" w:color="auto" w:fill="F0F0F8"/>
            <w:vAlign w:val="center"/>
          </w:tcPr>
          <w:p w14:paraId="10A1307E"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Gillespie et al. (2023)</w:t>
            </w:r>
          </w:p>
        </w:tc>
        <w:tc>
          <w:tcPr>
            <w:tcW w:w="2059" w:type="dxa"/>
            <w:shd w:val="clear" w:color="auto" w:fill="F0F0F8"/>
            <w:vAlign w:val="center"/>
          </w:tcPr>
          <w:p w14:paraId="12CE06E7"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k-NN + IoT</w:t>
            </w:r>
          </w:p>
        </w:tc>
        <w:tc>
          <w:tcPr>
            <w:tcW w:w="1685" w:type="dxa"/>
            <w:shd w:val="clear" w:color="auto" w:fill="F0F0F8"/>
            <w:vAlign w:val="center"/>
          </w:tcPr>
          <w:p w14:paraId="04EB7715"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584405B8"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449C3A50"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Acc: 94.2%</w:t>
            </w:r>
          </w:p>
        </w:tc>
      </w:tr>
      <w:tr w:rsidR="00EC5207" w:rsidRPr="00EC5207" w14:paraId="42DBD295"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1C3B9133" w14:textId="77777777" w:rsidR="0004690D" w:rsidRPr="00EC5207" w:rsidRDefault="00000000">
            <w:pPr>
              <w:spacing w:before="40" w:after="40"/>
              <w:rPr>
                <w:rFonts w:cs="Times New Roman"/>
              </w:rPr>
            </w:pPr>
            <w:r w:rsidRPr="00EC5207">
              <w:rPr>
                <w:rFonts w:cs="Times New Roman"/>
                <w:sz w:val="16"/>
              </w:rPr>
              <w:t>3</w:t>
            </w:r>
          </w:p>
        </w:tc>
        <w:tc>
          <w:tcPr>
            <w:tcW w:w="1685" w:type="dxa"/>
            <w:shd w:val="clear" w:color="auto" w:fill="FFFFFF"/>
            <w:vAlign w:val="center"/>
          </w:tcPr>
          <w:p w14:paraId="343E0EE5"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Wu et al. (2023)</w:t>
            </w:r>
          </w:p>
        </w:tc>
        <w:tc>
          <w:tcPr>
            <w:tcW w:w="2059" w:type="dxa"/>
            <w:shd w:val="clear" w:color="auto" w:fill="FFFFFF"/>
            <w:vAlign w:val="center"/>
          </w:tcPr>
          <w:p w14:paraId="4BCE37F7"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LSTM + Digital Twin</w:t>
            </w:r>
          </w:p>
        </w:tc>
        <w:tc>
          <w:tcPr>
            <w:tcW w:w="1685" w:type="dxa"/>
            <w:shd w:val="clear" w:color="auto" w:fill="FFFFFF"/>
            <w:vAlign w:val="center"/>
          </w:tcPr>
          <w:p w14:paraId="4145D13A"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2E787763"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5E88D838"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RMSE: 0.42°C</w:t>
            </w:r>
          </w:p>
        </w:tc>
      </w:tr>
      <w:tr w:rsidR="00EC5207" w:rsidRPr="00EC5207" w14:paraId="61E3A21E"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062A69BC" w14:textId="77777777" w:rsidR="0004690D" w:rsidRPr="00EC5207" w:rsidRDefault="00000000">
            <w:pPr>
              <w:spacing w:before="40" w:after="40"/>
              <w:rPr>
                <w:rFonts w:cs="Times New Roman"/>
              </w:rPr>
            </w:pPr>
            <w:r w:rsidRPr="00EC5207">
              <w:rPr>
                <w:rFonts w:cs="Times New Roman"/>
                <w:sz w:val="16"/>
              </w:rPr>
              <w:t>4</w:t>
            </w:r>
          </w:p>
        </w:tc>
        <w:tc>
          <w:tcPr>
            <w:tcW w:w="1685" w:type="dxa"/>
            <w:shd w:val="clear" w:color="auto" w:fill="F0F0F8"/>
            <w:vAlign w:val="center"/>
          </w:tcPr>
          <w:p w14:paraId="24270F57"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Meng et al. (2024)</w:t>
            </w:r>
          </w:p>
        </w:tc>
        <w:tc>
          <w:tcPr>
            <w:tcW w:w="2059" w:type="dxa"/>
            <w:shd w:val="clear" w:color="auto" w:fill="F0F0F8"/>
            <w:vAlign w:val="center"/>
          </w:tcPr>
          <w:p w14:paraId="09843F5F"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ANN classifier</w:t>
            </w:r>
          </w:p>
        </w:tc>
        <w:tc>
          <w:tcPr>
            <w:tcW w:w="1685" w:type="dxa"/>
            <w:shd w:val="clear" w:color="auto" w:fill="F0F0F8"/>
            <w:vAlign w:val="center"/>
          </w:tcPr>
          <w:p w14:paraId="317FCCEB"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0EE53010"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09717D61"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Acc: ~91%</w:t>
            </w:r>
          </w:p>
        </w:tc>
      </w:tr>
      <w:tr w:rsidR="00EC5207" w:rsidRPr="00EC5207" w14:paraId="3FF0A97A"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74CF355B" w14:textId="77777777" w:rsidR="0004690D" w:rsidRPr="00EC5207" w:rsidRDefault="00000000">
            <w:pPr>
              <w:spacing w:before="40" w:after="40"/>
              <w:rPr>
                <w:rFonts w:cs="Times New Roman"/>
              </w:rPr>
            </w:pPr>
            <w:r w:rsidRPr="00EC5207">
              <w:rPr>
                <w:rFonts w:cs="Times New Roman"/>
                <w:sz w:val="16"/>
              </w:rPr>
              <w:t>5</w:t>
            </w:r>
          </w:p>
        </w:tc>
        <w:tc>
          <w:tcPr>
            <w:tcW w:w="1685" w:type="dxa"/>
            <w:shd w:val="clear" w:color="auto" w:fill="FFFFFF"/>
            <w:vAlign w:val="center"/>
          </w:tcPr>
          <w:p w14:paraId="4C3EE9CE"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Xu et al. (2022)</w:t>
            </w:r>
          </w:p>
        </w:tc>
        <w:tc>
          <w:tcPr>
            <w:tcW w:w="2059" w:type="dxa"/>
            <w:shd w:val="clear" w:color="auto" w:fill="FFFFFF"/>
            <w:vAlign w:val="center"/>
          </w:tcPr>
          <w:p w14:paraId="249C6685"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Deep Isolation Forest</w:t>
            </w:r>
          </w:p>
        </w:tc>
        <w:tc>
          <w:tcPr>
            <w:tcW w:w="1685" w:type="dxa"/>
            <w:shd w:val="clear" w:color="auto" w:fill="FFFFFF"/>
            <w:vAlign w:val="center"/>
          </w:tcPr>
          <w:p w14:paraId="1F15B843"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FFFFF"/>
            <w:vAlign w:val="center"/>
          </w:tcPr>
          <w:p w14:paraId="1F4AA1CE"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0D2E2FE9"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AUC: 0.943</w:t>
            </w:r>
          </w:p>
        </w:tc>
      </w:tr>
      <w:tr w:rsidR="00EC5207" w:rsidRPr="00EC5207" w14:paraId="7D985FCA"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0EA29121" w14:textId="77777777" w:rsidR="0004690D" w:rsidRPr="00EC5207" w:rsidRDefault="00000000">
            <w:pPr>
              <w:spacing w:before="40" w:after="40"/>
              <w:rPr>
                <w:rFonts w:cs="Times New Roman"/>
              </w:rPr>
            </w:pPr>
            <w:r w:rsidRPr="00EC5207">
              <w:rPr>
                <w:rFonts w:cs="Times New Roman"/>
                <w:sz w:val="16"/>
              </w:rPr>
              <w:t>6</w:t>
            </w:r>
          </w:p>
        </w:tc>
        <w:tc>
          <w:tcPr>
            <w:tcW w:w="1685" w:type="dxa"/>
            <w:shd w:val="clear" w:color="auto" w:fill="F0F0F8"/>
            <w:vAlign w:val="center"/>
          </w:tcPr>
          <w:p w14:paraId="0DA6505F"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Jiang et al. (2024)</w:t>
            </w:r>
          </w:p>
        </w:tc>
        <w:tc>
          <w:tcPr>
            <w:tcW w:w="2059" w:type="dxa"/>
            <w:shd w:val="clear" w:color="auto" w:fill="F0F0F8"/>
            <w:vAlign w:val="center"/>
          </w:tcPr>
          <w:p w14:paraId="4065F486"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IoT framework</w:t>
            </w:r>
          </w:p>
        </w:tc>
        <w:tc>
          <w:tcPr>
            <w:tcW w:w="1685" w:type="dxa"/>
            <w:shd w:val="clear" w:color="auto" w:fill="F0F0F8"/>
            <w:vAlign w:val="center"/>
          </w:tcPr>
          <w:p w14:paraId="2262925F"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3A960A3F"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2913F485"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Compliance: 98.5%</w:t>
            </w:r>
          </w:p>
        </w:tc>
      </w:tr>
      <w:tr w:rsidR="00EC5207" w:rsidRPr="00EC5207" w14:paraId="1422F307"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599FC18A" w14:textId="77777777" w:rsidR="0004690D" w:rsidRPr="00EC5207" w:rsidRDefault="00000000">
            <w:pPr>
              <w:spacing w:before="40" w:after="40"/>
              <w:rPr>
                <w:rFonts w:cs="Times New Roman"/>
              </w:rPr>
            </w:pPr>
            <w:r w:rsidRPr="00EC5207">
              <w:rPr>
                <w:rFonts w:cs="Times New Roman"/>
                <w:sz w:val="16"/>
              </w:rPr>
              <w:t>7</w:t>
            </w:r>
          </w:p>
        </w:tc>
        <w:tc>
          <w:tcPr>
            <w:tcW w:w="1685" w:type="dxa"/>
            <w:shd w:val="clear" w:color="auto" w:fill="FFFFFF"/>
            <w:vAlign w:val="center"/>
          </w:tcPr>
          <w:p w14:paraId="60D0C065"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Hu et al. (2023)</w:t>
            </w:r>
          </w:p>
        </w:tc>
        <w:tc>
          <w:tcPr>
            <w:tcW w:w="2059" w:type="dxa"/>
            <w:shd w:val="clear" w:color="auto" w:fill="FFFFFF"/>
            <w:vAlign w:val="center"/>
          </w:tcPr>
          <w:p w14:paraId="4371C6CC"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RF + Blockchain</w:t>
            </w:r>
          </w:p>
        </w:tc>
        <w:tc>
          <w:tcPr>
            <w:tcW w:w="1685" w:type="dxa"/>
            <w:shd w:val="clear" w:color="auto" w:fill="FFFFFF"/>
            <w:vAlign w:val="center"/>
          </w:tcPr>
          <w:p w14:paraId="7EE44D5B"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1778A6AE"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0A9F1630"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MAPE: 8.2%</w:t>
            </w:r>
          </w:p>
        </w:tc>
      </w:tr>
      <w:tr w:rsidR="00EC5207" w:rsidRPr="00EC5207" w14:paraId="3E001AF1"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1BD200E1" w14:textId="77777777" w:rsidR="0004690D" w:rsidRPr="00EC5207" w:rsidRDefault="00000000">
            <w:pPr>
              <w:spacing w:before="40" w:after="40"/>
              <w:rPr>
                <w:rFonts w:cs="Times New Roman"/>
              </w:rPr>
            </w:pPr>
            <w:r w:rsidRPr="00EC5207">
              <w:rPr>
                <w:rFonts w:cs="Times New Roman"/>
                <w:sz w:val="16"/>
              </w:rPr>
              <w:t>8</w:t>
            </w:r>
          </w:p>
        </w:tc>
        <w:tc>
          <w:tcPr>
            <w:tcW w:w="1685" w:type="dxa"/>
            <w:shd w:val="clear" w:color="auto" w:fill="F0F0F8"/>
            <w:vAlign w:val="center"/>
          </w:tcPr>
          <w:p w14:paraId="62786717"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Skarin et al. (2024)</w:t>
            </w:r>
          </w:p>
        </w:tc>
        <w:tc>
          <w:tcPr>
            <w:tcW w:w="2059" w:type="dxa"/>
            <w:shd w:val="clear" w:color="auto" w:fill="F0F0F8"/>
            <w:vAlign w:val="center"/>
          </w:tcPr>
          <w:p w14:paraId="4017D5C4"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GB + RF baselines</w:t>
            </w:r>
          </w:p>
        </w:tc>
        <w:tc>
          <w:tcPr>
            <w:tcW w:w="1685" w:type="dxa"/>
            <w:shd w:val="clear" w:color="auto" w:fill="F0F0F8"/>
            <w:vAlign w:val="center"/>
          </w:tcPr>
          <w:p w14:paraId="6D709612"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133A1086"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3598B262"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F1: 0.89, AUC: 0.92</w:t>
            </w:r>
          </w:p>
        </w:tc>
      </w:tr>
      <w:tr w:rsidR="00EC5207" w:rsidRPr="00EC5207" w14:paraId="704E62D1"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25165204" w14:textId="77777777" w:rsidR="0004690D" w:rsidRPr="00EC5207" w:rsidRDefault="00000000">
            <w:pPr>
              <w:spacing w:before="40" w:after="40"/>
              <w:rPr>
                <w:rFonts w:cs="Times New Roman"/>
              </w:rPr>
            </w:pPr>
            <w:r w:rsidRPr="00EC5207">
              <w:rPr>
                <w:rFonts w:cs="Times New Roman"/>
                <w:sz w:val="16"/>
              </w:rPr>
              <w:t>9</w:t>
            </w:r>
          </w:p>
        </w:tc>
        <w:tc>
          <w:tcPr>
            <w:tcW w:w="1685" w:type="dxa"/>
            <w:shd w:val="clear" w:color="auto" w:fill="FFFFFF"/>
            <w:vAlign w:val="center"/>
          </w:tcPr>
          <w:p w14:paraId="64551B59"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Nozari et al. (2025)</w:t>
            </w:r>
          </w:p>
        </w:tc>
        <w:tc>
          <w:tcPr>
            <w:tcW w:w="2059" w:type="dxa"/>
            <w:shd w:val="clear" w:color="auto" w:fill="FFFFFF"/>
            <w:vAlign w:val="center"/>
          </w:tcPr>
          <w:p w14:paraId="30071281"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Meta-heuristic opt.</w:t>
            </w:r>
          </w:p>
        </w:tc>
        <w:tc>
          <w:tcPr>
            <w:tcW w:w="1685" w:type="dxa"/>
            <w:shd w:val="clear" w:color="auto" w:fill="FFFFFF"/>
            <w:vAlign w:val="center"/>
          </w:tcPr>
          <w:p w14:paraId="1A5DAB4B"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16811A37"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71D76BC5"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60% cost reduction</w:t>
            </w:r>
          </w:p>
        </w:tc>
      </w:tr>
      <w:tr w:rsidR="00EC5207" w:rsidRPr="00EC5207" w14:paraId="54DAAFA0"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0A31EEAE" w14:textId="77777777" w:rsidR="0004690D" w:rsidRPr="00EC5207" w:rsidRDefault="00000000">
            <w:pPr>
              <w:spacing w:before="40" w:after="40"/>
              <w:rPr>
                <w:rFonts w:cs="Times New Roman"/>
              </w:rPr>
            </w:pPr>
            <w:r w:rsidRPr="00EC5207">
              <w:rPr>
                <w:rFonts w:cs="Times New Roman"/>
                <w:sz w:val="16"/>
              </w:rPr>
              <w:t>10</w:t>
            </w:r>
          </w:p>
        </w:tc>
        <w:tc>
          <w:tcPr>
            <w:tcW w:w="1685" w:type="dxa"/>
            <w:shd w:val="clear" w:color="auto" w:fill="F0F0F8"/>
            <w:vAlign w:val="center"/>
          </w:tcPr>
          <w:p w14:paraId="389E3B57"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Chen et al. (2024)</w:t>
            </w:r>
          </w:p>
        </w:tc>
        <w:tc>
          <w:tcPr>
            <w:tcW w:w="2059" w:type="dxa"/>
            <w:shd w:val="clear" w:color="auto" w:fill="F0F0F8"/>
            <w:vAlign w:val="center"/>
          </w:tcPr>
          <w:p w14:paraId="29573FF0"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LSTM-Autoencoder</w:t>
            </w:r>
          </w:p>
        </w:tc>
        <w:tc>
          <w:tcPr>
            <w:tcW w:w="1685" w:type="dxa"/>
            <w:shd w:val="clear" w:color="auto" w:fill="F0F0F8"/>
            <w:vAlign w:val="center"/>
          </w:tcPr>
          <w:p w14:paraId="133CB108"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1A604764"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7A9F85BD"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F1: 0.94</w:t>
            </w:r>
          </w:p>
        </w:tc>
      </w:tr>
      <w:tr w:rsidR="00EC5207" w:rsidRPr="00EC5207" w14:paraId="248DDE77"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649072A7" w14:textId="77777777" w:rsidR="0004690D" w:rsidRPr="00EC5207" w:rsidRDefault="00000000">
            <w:pPr>
              <w:spacing w:before="40" w:after="40"/>
              <w:rPr>
                <w:rFonts w:cs="Times New Roman"/>
              </w:rPr>
            </w:pPr>
            <w:r w:rsidRPr="00EC5207">
              <w:rPr>
                <w:rFonts w:cs="Times New Roman"/>
                <w:sz w:val="16"/>
              </w:rPr>
              <w:t>11</w:t>
            </w:r>
          </w:p>
        </w:tc>
        <w:tc>
          <w:tcPr>
            <w:tcW w:w="1685" w:type="dxa"/>
            <w:shd w:val="clear" w:color="auto" w:fill="FFFFFF"/>
            <w:vAlign w:val="center"/>
          </w:tcPr>
          <w:p w14:paraId="148B4F3B"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Konovalenko (2021)</w:t>
            </w:r>
          </w:p>
        </w:tc>
        <w:tc>
          <w:tcPr>
            <w:tcW w:w="2059" w:type="dxa"/>
            <w:shd w:val="clear" w:color="auto" w:fill="FFFFFF"/>
            <w:vAlign w:val="center"/>
          </w:tcPr>
          <w:p w14:paraId="3F6B46C0"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XGBoost + 7 MLs</w:t>
            </w:r>
          </w:p>
        </w:tc>
        <w:tc>
          <w:tcPr>
            <w:tcW w:w="1685" w:type="dxa"/>
            <w:shd w:val="clear" w:color="auto" w:fill="FFFFFF"/>
            <w:vAlign w:val="center"/>
          </w:tcPr>
          <w:p w14:paraId="1186160F"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FFFFF"/>
            <w:vAlign w:val="center"/>
          </w:tcPr>
          <w:p w14:paraId="6008FCE9"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53DB7114"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Acc: 97.8%</w:t>
            </w:r>
          </w:p>
        </w:tc>
      </w:tr>
      <w:tr w:rsidR="00EC5207" w:rsidRPr="00EC5207" w14:paraId="227853D6"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719C38AB" w14:textId="77777777" w:rsidR="0004690D" w:rsidRPr="00EC5207" w:rsidRDefault="00000000">
            <w:pPr>
              <w:spacing w:before="40" w:after="40"/>
              <w:rPr>
                <w:rFonts w:cs="Times New Roman"/>
              </w:rPr>
            </w:pPr>
            <w:r w:rsidRPr="00EC5207">
              <w:rPr>
                <w:rFonts w:cs="Times New Roman"/>
                <w:sz w:val="16"/>
              </w:rPr>
              <w:t>12</w:t>
            </w:r>
          </w:p>
        </w:tc>
        <w:tc>
          <w:tcPr>
            <w:tcW w:w="1685" w:type="dxa"/>
            <w:shd w:val="clear" w:color="auto" w:fill="F0F0F8"/>
            <w:vAlign w:val="center"/>
          </w:tcPr>
          <w:p w14:paraId="1136F63B"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Zhang et al. (2024)</w:t>
            </w:r>
          </w:p>
        </w:tc>
        <w:tc>
          <w:tcPr>
            <w:tcW w:w="2059" w:type="dxa"/>
            <w:shd w:val="clear" w:color="auto" w:fill="F0F0F8"/>
            <w:vAlign w:val="center"/>
          </w:tcPr>
          <w:p w14:paraId="0490DD86"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Transformer</w:t>
            </w:r>
          </w:p>
        </w:tc>
        <w:tc>
          <w:tcPr>
            <w:tcW w:w="1685" w:type="dxa"/>
            <w:shd w:val="clear" w:color="auto" w:fill="F0F0F8"/>
            <w:vAlign w:val="center"/>
          </w:tcPr>
          <w:p w14:paraId="448F17F9"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4097916F"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Implicit</w:t>
            </w:r>
          </w:p>
        </w:tc>
        <w:tc>
          <w:tcPr>
            <w:tcW w:w="2340" w:type="dxa"/>
            <w:shd w:val="clear" w:color="auto" w:fill="F0F0F8"/>
            <w:vAlign w:val="center"/>
          </w:tcPr>
          <w:p w14:paraId="11B33155"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F1: 0.92, AUC: 0.96</w:t>
            </w:r>
          </w:p>
        </w:tc>
      </w:tr>
      <w:tr w:rsidR="00EC5207" w:rsidRPr="00EC5207" w14:paraId="09881761"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7D34F6EE" w14:textId="77777777" w:rsidR="0004690D" w:rsidRPr="00EC5207" w:rsidRDefault="00000000">
            <w:pPr>
              <w:spacing w:before="40" w:after="40"/>
              <w:rPr>
                <w:rFonts w:cs="Times New Roman"/>
              </w:rPr>
            </w:pPr>
            <w:r w:rsidRPr="00EC5207">
              <w:rPr>
                <w:rFonts w:cs="Times New Roman"/>
                <w:sz w:val="16"/>
              </w:rPr>
              <w:t>13</w:t>
            </w:r>
          </w:p>
        </w:tc>
        <w:tc>
          <w:tcPr>
            <w:tcW w:w="1685" w:type="dxa"/>
            <w:shd w:val="clear" w:color="auto" w:fill="FFFFFF"/>
            <w:vAlign w:val="center"/>
          </w:tcPr>
          <w:p w14:paraId="73F1FF85"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Islam et al. (2025)</w:t>
            </w:r>
          </w:p>
        </w:tc>
        <w:tc>
          <w:tcPr>
            <w:tcW w:w="2059" w:type="dxa"/>
            <w:shd w:val="clear" w:color="auto" w:fill="FFFFFF"/>
            <w:vAlign w:val="center"/>
          </w:tcPr>
          <w:p w14:paraId="25E48349"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XGBoost + SHAP/LIME</w:t>
            </w:r>
          </w:p>
        </w:tc>
        <w:tc>
          <w:tcPr>
            <w:tcW w:w="1685" w:type="dxa"/>
            <w:shd w:val="clear" w:color="auto" w:fill="FFFFFF"/>
            <w:vAlign w:val="center"/>
          </w:tcPr>
          <w:p w14:paraId="4A8D45A3"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28B547F2"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 xml:space="preserve">Yes </w:t>
            </w:r>
            <w:r w:rsidRPr="00EC5207">
              <w:rPr>
                <w:rFonts w:cs="Segoe UI Symbol"/>
                <w:sz w:val="16"/>
              </w:rPr>
              <w:t>✓</w:t>
            </w:r>
          </w:p>
        </w:tc>
        <w:tc>
          <w:tcPr>
            <w:tcW w:w="2340" w:type="dxa"/>
            <w:shd w:val="clear" w:color="auto" w:fill="FFFFFF"/>
            <w:vAlign w:val="center"/>
          </w:tcPr>
          <w:p w14:paraId="4D95DE90"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Acc: 96.3%, F1: 0.95</w:t>
            </w:r>
          </w:p>
        </w:tc>
      </w:tr>
      <w:tr w:rsidR="00EC5207" w:rsidRPr="00EC5207" w14:paraId="0E73E94D"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44F58847" w14:textId="77777777" w:rsidR="0004690D" w:rsidRPr="00EC5207" w:rsidRDefault="00000000">
            <w:pPr>
              <w:spacing w:before="40" w:after="40"/>
              <w:rPr>
                <w:rFonts w:cs="Times New Roman"/>
              </w:rPr>
            </w:pPr>
            <w:r w:rsidRPr="00EC5207">
              <w:rPr>
                <w:rFonts w:cs="Times New Roman"/>
                <w:sz w:val="16"/>
              </w:rPr>
              <w:t>14</w:t>
            </w:r>
          </w:p>
        </w:tc>
        <w:tc>
          <w:tcPr>
            <w:tcW w:w="1685" w:type="dxa"/>
            <w:shd w:val="clear" w:color="auto" w:fill="F0F0F8"/>
            <w:vAlign w:val="center"/>
          </w:tcPr>
          <w:p w14:paraId="1A79F3CC"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Li et al. (2023)</w:t>
            </w:r>
          </w:p>
        </w:tc>
        <w:tc>
          <w:tcPr>
            <w:tcW w:w="2059" w:type="dxa"/>
            <w:shd w:val="clear" w:color="auto" w:fill="F0F0F8"/>
            <w:vAlign w:val="center"/>
          </w:tcPr>
          <w:p w14:paraId="538A9114"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LightGBM + SHAP</w:t>
            </w:r>
          </w:p>
        </w:tc>
        <w:tc>
          <w:tcPr>
            <w:tcW w:w="1685" w:type="dxa"/>
            <w:shd w:val="clear" w:color="auto" w:fill="F0F0F8"/>
            <w:vAlign w:val="center"/>
          </w:tcPr>
          <w:p w14:paraId="05ECA069"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0F0F8"/>
            <w:vAlign w:val="center"/>
          </w:tcPr>
          <w:p w14:paraId="61D27E16"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 xml:space="preserve">Yes </w:t>
            </w:r>
            <w:r w:rsidRPr="00EC5207">
              <w:rPr>
                <w:rFonts w:cs="Segoe UI Symbol"/>
                <w:sz w:val="16"/>
              </w:rPr>
              <w:t>✓</w:t>
            </w:r>
          </w:p>
        </w:tc>
        <w:tc>
          <w:tcPr>
            <w:tcW w:w="2340" w:type="dxa"/>
            <w:shd w:val="clear" w:color="auto" w:fill="F0F0F8"/>
            <w:vAlign w:val="center"/>
          </w:tcPr>
          <w:p w14:paraId="633BF6B2"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R²: 0.94</w:t>
            </w:r>
          </w:p>
        </w:tc>
      </w:tr>
      <w:tr w:rsidR="00EC5207" w:rsidRPr="00EC5207" w14:paraId="7A60F610"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0FC9F243" w14:textId="77777777" w:rsidR="0004690D" w:rsidRPr="00EC5207" w:rsidRDefault="00000000">
            <w:pPr>
              <w:spacing w:before="40" w:after="40"/>
              <w:rPr>
                <w:rFonts w:cs="Times New Roman"/>
              </w:rPr>
            </w:pPr>
            <w:r w:rsidRPr="00EC5207">
              <w:rPr>
                <w:rFonts w:cs="Times New Roman"/>
                <w:sz w:val="16"/>
              </w:rPr>
              <w:t>15</w:t>
            </w:r>
          </w:p>
        </w:tc>
        <w:tc>
          <w:tcPr>
            <w:tcW w:w="1685" w:type="dxa"/>
            <w:shd w:val="clear" w:color="auto" w:fill="FFFFFF"/>
            <w:vAlign w:val="center"/>
          </w:tcPr>
          <w:p w14:paraId="515FAC29"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Sattar et al. (2025)</w:t>
            </w:r>
          </w:p>
        </w:tc>
        <w:tc>
          <w:tcPr>
            <w:tcW w:w="2059" w:type="dxa"/>
            <w:shd w:val="clear" w:color="auto" w:fill="FFFFFF"/>
            <w:vAlign w:val="center"/>
          </w:tcPr>
          <w:p w14:paraId="5E5C8718"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LightGBM + 7 MLs</w:t>
            </w:r>
          </w:p>
        </w:tc>
        <w:tc>
          <w:tcPr>
            <w:tcW w:w="1685" w:type="dxa"/>
            <w:shd w:val="clear" w:color="auto" w:fill="FFFFFF"/>
            <w:vAlign w:val="center"/>
          </w:tcPr>
          <w:p w14:paraId="1EB79AA2"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04B3F672"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070232BB"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Acc: 97.1%</w:t>
            </w:r>
          </w:p>
        </w:tc>
      </w:tr>
      <w:tr w:rsidR="00EC5207" w:rsidRPr="00EC5207" w14:paraId="1269423E"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74CCC49D" w14:textId="77777777" w:rsidR="0004690D" w:rsidRPr="00EC5207" w:rsidRDefault="00000000">
            <w:pPr>
              <w:spacing w:before="40" w:after="40"/>
              <w:rPr>
                <w:rFonts w:cs="Times New Roman"/>
              </w:rPr>
            </w:pPr>
            <w:r w:rsidRPr="00EC5207">
              <w:rPr>
                <w:rFonts w:cs="Times New Roman"/>
                <w:sz w:val="16"/>
              </w:rPr>
              <w:lastRenderedPageBreak/>
              <w:t>16</w:t>
            </w:r>
          </w:p>
        </w:tc>
        <w:tc>
          <w:tcPr>
            <w:tcW w:w="1685" w:type="dxa"/>
            <w:shd w:val="clear" w:color="auto" w:fill="F0F0F8"/>
            <w:vAlign w:val="center"/>
          </w:tcPr>
          <w:p w14:paraId="6E9F9E2A"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Douaioui et al. (2024)</w:t>
            </w:r>
          </w:p>
        </w:tc>
        <w:tc>
          <w:tcPr>
            <w:tcW w:w="2059" w:type="dxa"/>
            <w:shd w:val="clear" w:color="auto" w:fill="F0F0F8"/>
            <w:vAlign w:val="center"/>
          </w:tcPr>
          <w:p w14:paraId="7C839715"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Review (LSTM, CNN)</w:t>
            </w:r>
          </w:p>
        </w:tc>
        <w:tc>
          <w:tcPr>
            <w:tcW w:w="1685" w:type="dxa"/>
            <w:shd w:val="clear" w:color="auto" w:fill="F0F0F8"/>
            <w:vAlign w:val="center"/>
          </w:tcPr>
          <w:p w14:paraId="5F47FB23"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N/A (Review)</w:t>
            </w:r>
          </w:p>
        </w:tc>
        <w:tc>
          <w:tcPr>
            <w:tcW w:w="1123" w:type="dxa"/>
            <w:shd w:val="clear" w:color="auto" w:fill="F0F0F8"/>
            <w:vAlign w:val="center"/>
          </w:tcPr>
          <w:p w14:paraId="677A46F4"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5900E54B"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15-25% MAPE ↓</w:t>
            </w:r>
          </w:p>
        </w:tc>
      </w:tr>
      <w:tr w:rsidR="00EC5207" w:rsidRPr="00EC5207" w14:paraId="12AC0895"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6B1F0FC0" w14:textId="77777777" w:rsidR="0004690D" w:rsidRPr="00EC5207" w:rsidRDefault="00000000">
            <w:pPr>
              <w:spacing w:before="40" w:after="40"/>
              <w:rPr>
                <w:rFonts w:cs="Times New Roman"/>
              </w:rPr>
            </w:pPr>
            <w:r w:rsidRPr="00EC5207">
              <w:rPr>
                <w:rFonts w:cs="Times New Roman"/>
                <w:sz w:val="16"/>
              </w:rPr>
              <w:t>17</w:t>
            </w:r>
          </w:p>
        </w:tc>
        <w:tc>
          <w:tcPr>
            <w:tcW w:w="1685" w:type="dxa"/>
            <w:shd w:val="clear" w:color="auto" w:fill="FFFFFF"/>
            <w:vAlign w:val="center"/>
          </w:tcPr>
          <w:p w14:paraId="21AC20AD"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Wang et al. (2024)</w:t>
            </w:r>
          </w:p>
        </w:tc>
        <w:tc>
          <w:tcPr>
            <w:tcW w:w="2059" w:type="dxa"/>
            <w:shd w:val="clear" w:color="auto" w:fill="FFFFFF"/>
            <w:vAlign w:val="center"/>
          </w:tcPr>
          <w:p w14:paraId="636E644A"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K-Med-LSTM-XGBoost</w:t>
            </w:r>
          </w:p>
        </w:tc>
        <w:tc>
          <w:tcPr>
            <w:tcW w:w="1685" w:type="dxa"/>
            <w:shd w:val="clear" w:color="auto" w:fill="FFFFFF"/>
            <w:vAlign w:val="center"/>
          </w:tcPr>
          <w:p w14:paraId="1D0A43C0"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2DD5E090"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No</w:t>
            </w:r>
          </w:p>
        </w:tc>
        <w:tc>
          <w:tcPr>
            <w:tcW w:w="2340" w:type="dxa"/>
            <w:shd w:val="clear" w:color="auto" w:fill="FFFFFF"/>
            <w:vAlign w:val="center"/>
          </w:tcPr>
          <w:p w14:paraId="0114B68E"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RMSE: 0.31°C, R²: 0.97</w:t>
            </w:r>
          </w:p>
        </w:tc>
      </w:tr>
      <w:tr w:rsidR="00EC5207" w:rsidRPr="00EC5207" w14:paraId="0793F1D5"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6CD1E8EF" w14:textId="77777777" w:rsidR="0004690D" w:rsidRPr="00EC5207" w:rsidRDefault="00000000">
            <w:pPr>
              <w:spacing w:before="40" w:after="40"/>
              <w:rPr>
                <w:rFonts w:cs="Times New Roman"/>
              </w:rPr>
            </w:pPr>
            <w:r w:rsidRPr="00EC5207">
              <w:rPr>
                <w:rFonts w:cs="Times New Roman"/>
                <w:sz w:val="16"/>
              </w:rPr>
              <w:t>18</w:t>
            </w:r>
          </w:p>
        </w:tc>
        <w:tc>
          <w:tcPr>
            <w:tcW w:w="1685" w:type="dxa"/>
            <w:shd w:val="clear" w:color="auto" w:fill="F0F0F8"/>
            <w:vAlign w:val="center"/>
          </w:tcPr>
          <w:p w14:paraId="4BE215FE"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Martinez et al. (2025)</w:t>
            </w:r>
          </w:p>
        </w:tc>
        <w:tc>
          <w:tcPr>
            <w:tcW w:w="2059" w:type="dxa"/>
            <w:shd w:val="clear" w:color="auto" w:fill="F0F0F8"/>
            <w:vAlign w:val="center"/>
          </w:tcPr>
          <w:p w14:paraId="3B728891"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GAN + LSTM</w:t>
            </w:r>
          </w:p>
        </w:tc>
        <w:tc>
          <w:tcPr>
            <w:tcW w:w="1685" w:type="dxa"/>
            <w:shd w:val="clear" w:color="auto" w:fill="F0F0F8"/>
            <w:vAlign w:val="center"/>
          </w:tcPr>
          <w:p w14:paraId="33EDED9B"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0F0F8"/>
            <w:vAlign w:val="center"/>
          </w:tcPr>
          <w:p w14:paraId="49C11F5C"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10DCF447"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F1: 0.91</w:t>
            </w:r>
          </w:p>
        </w:tc>
      </w:tr>
      <w:tr w:rsidR="00EC5207" w:rsidRPr="00EC5207" w14:paraId="6166F8C1" w14:textId="77777777" w:rsidTr="000469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FFFFF"/>
            <w:vAlign w:val="center"/>
          </w:tcPr>
          <w:p w14:paraId="51B12808" w14:textId="77777777" w:rsidR="0004690D" w:rsidRPr="00EC5207" w:rsidRDefault="00000000">
            <w:pPr>
              <w:spacing w:before="40" w:after="40"/>
              <w:rPr>
                <w:rFonts w:cs="Times New Roman"/>
              </w:rPr>
            </w:pPr>
            <w:r w:rsidRPr="00EC5207">
              <w:rPr>
                <w:rFonts w:cs="Times New Roman"/>
                <w:sz w:val="16"/>
              </w:rPr>
              <w:t>19</w:t>
            </w:r>
          </w:p>
        </w:tc>
        <w:tc>
          <w:tcPr>
            <w:tcW w:w="1685" w:type="dxa"/>
            <w:shd w:val="clear" w:color="auto" w:fill="FFFFFF"/>
            <w:vAlign w:val="center"/>
          </w:tcPr>
          <w:p w14:paraId="1459A8D4"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Hezam et al. (2024)</w:t>
            </w:r>
          </w:p>
        </w:tc>
        <w:tc>
          <w:tcPr>
            <w:tcW w:w="2059" w:type="dxa"/>
            <w:shd w:val="clear" w:color="auto" w:fill="FFFFFF"/>
            <w:vAlign w:val="center"/>
          </w:tcPr>
          <w:p w14:paraId="4EAE9266"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RF + GB + NN</w:t>
            </w:r>
          </w:p>
        </w:tc>
        <w:tc>
          <w:tcPr>
            <w:tcW w:w="1685" w:type="dxa"/>
            <w:shd w:val="clear" w:color="auto" w:fill="FFFFFF"/>
            <w:vAlign w:val="center"/>
          </w:tcPr>
          <w:p w14:paraId="1A33348A"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Predictive</w:t>
            </w:r>
          </w:p>
        </w:tc>
        <w:tc>
          <w:tcPr>
            <w:tcW w:w="1123" w:type="dxa"/>
            <w:shd w:val="clear" w:color="auto" w:fill="FFFFFF"/>
            <w:vAlign w:val="center"/>
          </w:tcPr>
          <w:p w14:paraId="397351AC"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Partial</w:t>
            </w:r>
          </w:p>
        </w:tc>
        <w:tc>
          <w:tcPr>
            <w:tcW w:w="2340" w:type="dxa"/>
            <w:shd w:val="clear" w:color="auto" w:fill="FFFFFF"/>
            <w:vAlign w:val="center"/>
          </w:tcPr>
          <w:p w14:paraId="18110E86" w14:textId="77777777" w:rsidR="0004690D" w:rsidRPr="00EC5207" w:rsidRDefault="00000000">
            <w:pPr>
              <w:spacing w:before="40" w:after="40"/>
              <w:cnfStyle w:val="000000100000" w:firstRow="0" w:lastRow="0" w:firstColumn="0" w:lastColumn="0" w:oddVBand="0" w:evenVBand="0" w:oddHBand="1" w:evenHBand="0" w:firstRowFirstColumn="0" w:firstRowLastColumn="0" w:lastRowFirstColumn="0" w:lastRowLastColumn="0"/>
              <w:rPr>
                <w:rFonts w:cs="Times New Roman"/>
              </w:rPr>
            </w:pPr>
            <w:r w:rsidRPr="00EC5207">
              <w:rPr>
                <w:rFonts w:cs="Times New Roman"/>
                <w:sz w:val="16"/>
              </w:rPr>
              <w:t>Acc: 93.7%</w:t>
            </w:r>
          </w:p>
        </w:tc>
      </w:tr>
      <w:tr w:rsidR="00EC5207" w:rsidRPr="00EC5207" w14:paraId="28AB8A64" w14:textId="77777777" w:rsidTr="000469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 w:type="dxa"/>
            <w:shd w:val="clear" w:color="auto" w:fill="F0F0F8"/>
            <w:vAlign w:val="center"/>
          </w:tcPr>
          <w:p w14:paraId="4661E84B" w14:textId="77777777" w:rsidR="0004690D" w:rsidRPr="00EC5207" w:rsidRDefault="00000000">
            <w:pPr>
              <w:spacing w:before="40" w:after="40"/>
              <w:rPr>
                <w:rFonts w:cs="Times New Roman"/>
              </w:rPr>
            </w:pPr>
            <w:r w:rsidRPr="00EC5207">
              <w:rPr>
                <w:rFonts w:cs="Times New Roman"/>
                <w:sz w:val="16"/>
              </w:rPr>
              <w:t>20</w:t>
            </w:r>
          </w:p>
        </w:tc>
        <w:tc>
          <w:tcPr>
            <w:tcW w:w="1685" w:type="dxa"/>
            <w:shd w:val="clear" w:color="auto" w:fill="F0F0F8"/>
            <w:vAlign w:val="center"/>
          </w:tcPr>
          <w:p w14:paraId="35195977"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Cil et al. (2022)</w:t>
            </w:r>
          </w:p>
        </w:tc>
        <w:tc>
          <w:tcPr>
            <w:tcW w:w="2059" w:type="dxa"/>
            <w:shd w:val="clear" w:color="auto" w:fill="F0F0F8"/>
            <w:vAlign w:val="center"/>
          </w:tcPr>
          <w:p w14:paraId="288A0A5D"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IoT + Threshold</w:t>
            </w:r>
          </w:p>
        </w:tc>
        <w:tc>
          <w:tcPr>
            <w:tcW w:w="1685" w:type="dxa"/>
            <w:shd w:val="clear" w:color="auto" w:fill="F0F0F8"/>
            <w:vAlign w:val="center"/>
          </w:tcPr>
          <w:p w14:paraId="52BC6D59"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Reactive</w:t>
            </w:r>
          </w:p>
        </w:tc>
        <w:tc>
          <w:tcPr>
            <w:tcW w:w="1123" w:type="dxa"/>
            <w:shd w:val="clear" w:color="auto" w:fill="F0F0F8"/>
            <w:vAlign w:val="center"/>
          </w:tcPr>
          <w:p w14:paraId="21BBC7D3"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No</w:t>
            </w:r>
          </w:p>
        </w:tc>
        <w:tc>
          <w:tcPr>
            <w:tcW w:w="2340" w:type="dxa"/>
            <w:shd w:val="clear" w:color="auto" w:fill="F0F0F8"/>
            <w:vAlign w:val="center"/>
          </w:tcPr>
          <w:p w14:paraId="3BEDB0FC" w14:textId="77777777" w:rsidR="0004690D" w:rsidRPr="00EC5207" w:rsidRDefault="00000000">
            <w:pPr>
              <w:spacing w:before="40" w:after="40"/>
              <w:cnfStyle w:val="000000010000" w:firstRow="0" w:lastRow="0" w:firstColumn="0" w:lastColumn="0" w:oddVBand="0" w:evenVBand="0" w:oddHBand="0" w:evenHBand="1" w:firstRowFirstColumn="0" w:firstRowLastColumn="0" w:lastRowFirstColumn="0" w:lastRowLastColumn="0"/>
              <w:rPr>
                <w:rFonts w:cs="Times New Roman"/>
              </w:rPr>
            </w:pPr>
            <w:r w:rsidRPr="00EC5207">
              <w:rPr>
                <w:rFonts w:cs="Times New Roman"/>
                <w:sz w:val="16"/>
              </w:rPr>
              <w:t>100% visibility</w:t>
            </w:r>
          </w:p>
        </w:tc>
      </w:tr>
    </w:tbl>
    <w:p w14:paraId="01852564" w14:textId="77777777" w:rsidR="00C741CF" w:rsidRDefault="00C741CF">
      <w:pPr>
        <w:spacing w:after="80"/>
        <w:rPr>
          <w:rFonts w:cs="Times New Roman"/>
          <w:b/>
        </w:rPr>
      </w:pPr>
    </w:p>
    <w:p w14:paraId="57E8E5CF" w14:textId="574808C4" w:rsidR="0004690D" w:rsidRPr="00EC5207" w:rsidRDefault="00000000">
      <w:pPr>
        <w:spacing w:after="80"/>
        <w:rPr>
          <w:rFonts w:cs="Times New Roman"/>
        </w:rPr>
      </w:pPr>
      <w:r w:rsidRPr="00EC5207">
        <w:rPr>
          <w:rFonts w:cs="Times New Roman"/>
          <w:b/>
        </w:rPr>
        <w:t>Key observations from the comparative analysis:</w:t>
      </w:r>
    </w:p>
    <w:p w14:paraId="1CC51AFB" w14:textId="77777777" w:rsidR="0086519A" w:rsidRPr="0086519A" w:rsidRDefault="0086519A">
      <w:pPr>
        <w:pStyle w:val="ListBullet"/>
        <w:rPr>
          <w:rFonts w:cs="Times New Roman"/>
        </w:rPr>
      </w:pPr>
      <w:r w:rsidRPr="0086519A">
        <w:rPr>
          <w:rFonts w:cs="Times New Roman"/>
        </w:rPr>
        <w:t>Reactive vs. Predictive: 10 papers attempt anomaly detection after the anomaly event has occurred (reactive anomaly detection), with only 8 attempting anything approaching prediction or a forecasting methodology (predictive analytics). Only two papers attempt to bridge the two concepts, with Islam et al. [1] and Li et al. [11] both incorporating an explanation element with predictive techniques.</w:t>
      </w:r>
    </w:p>
    <w:p w14:paraId="50A8CE6C" w14:textId="77777777" w:rsidR="0086519A" w:rsidRPr="0086519A" w:rsidRDefault="0086519A">
      <w:pPr>
        <w:pStyle w:val="ListBullet"/>
        <w:rPr>
          <w:rFonts w:cs="Times New Roman"/>
        </w:rPr>
      </w:pPr>
      <w:r w:rsidRPr="0086519A">
        <w:rPr>
          <w:rFonts w:cs="Times New Roman"/>
        </w:rPr>
        <w:t>Explainability Gap Only two papers (Islam et al., Li et al.) use explainability techniques (SHAP, LIME). Two papers (Zhang et al., Hezam et al.) rely on Transformer's implicit attention and partial feature importance analysis, respectively. For the other sixteen papers, machine learning models act like black boxes.</w:t>
      </w:r>
    </w:p>
    <w:p w14:paraId="7703EAC2" w14:textId="77777777" w:rsidR="0004690D" w:rsidRPr="00EC5207" w:rsidRDefault="0086519A">
      <w:pPr>
        <w:pStyle w:val="ListBullet"/>
        <w:rPr>
          <w:rFonts w:cs="Times New Roman"/>
        </w:rPr>
      </w:pPr>
      <w:r w:rsidRPr="0086519A">
        <w:rPr>
          <w:rFonts w:cs="Times New Roman"/>
        </w:rPr>
        <w:t>Cold-Chain Specificity Papers 1–4, 8, 10, 17, 18, 20 examine exactly cold-chain supply chains. Paper 13–14 examines generic supply chains and applies XAI, but without mention of cold chains. We see a definite deficiency in the intersection of prediction within cold chains and the explainability of those predictions.</w:t>
      </w:r>
      <w:r w:rsidRPr="00EC5207">
        <w:rPr>
          <w:rFonts w:cs="Times New Roman"/>
        </w:rPr>
        <w:t>Dataset Availability: Only Skarin et al. use a publicly available cold-chain dataset with failure labels. Most other papers use proprietary or simulated data, limiting reproducibility.</w:t>
      </w:r>
    </w:p>
    <w:p w14:paraId="6C521966" w14:textId="77777777" w:rsidR="0004690D" w:rsidRPr="0086519A" w:rsidRDefault="00000000" w:rsidP="0086519A">
      <w:pPr>
        <w:pStyle w:val="ListBullet"/>
        <w:rPr>
          <w:rFonts w:cs="Times New Roman"/>
        </w:rPr>
      </w:pPr>
      <w:r w:rsidRPr="0086519A">
        <w:rPr>
          <w:rFonts w:cs="Times New Roman"/>
        </w:rPr>
        <w:t xml:space="preserve">Performance Ceiling: </w:t>
      </w:r>
      <w:r w:rsidR="0086519A" w:rsidRPr="0086519A">
        <w:rPr>
          <w:rFonts w:cs="Times New Roman"/>
        </w:rPr>
        <w:t>Models that work the best reach an F1-Score of 0.89 to 0.94 for detection of anomalies in cold supply chain, and between 0.95 to 0.97 in case of predicting overall supply chain outcome. In our opinion this also leaves considerable scope of improvement via sophisticated feature engineering and models design.</w:t>
      </w:r>
    </w:p>
    <w:p w14:paraId="24A540E3" w14:textId="77777777" w:rsidR="0004690D" w:rsidRPr="00EC5207" w:rsidRDefault="00000000">
      <w:pPr>
        <w:pStyle w:val="Heading1"/>
        <w:rPr>
          <w:rFonts w:ascii="Times New Roman" w:hAnsi="Times New Roman" w:cs="Times New Roman"/>
          <w:color w:val="auto"/>
        </w:rPr>
      </w:pPr>
      <w:r w:rsidRPr="00EC5207">
        <w:rPr>
          <w:rFonts w:ascii="Times New Roman" w:hAnsi="Times New Roman" w:cs="Times New Roman"/>
        </w:rPr>
        <w:t>4. Identified Research Gaps</w:t>
      </w:r>
    </w:p>
    <w:p w14:paraId="72B70E6B" w14:textId="77777777" w:rsidR="0004690D" w:rsidRPr="00EC5207" w:rsidRDefault="00000000">
      <w:pPr>
        <w:spacing w:after="160"/>
        <w:rPr>
          <w:rFonts w:cs="Times New Roman"/>
        </w:rPr>
      </w:pPr>
      <w:r w:rsidRPr="00EC5207">
        <w:rPr>
          <w:rFonts w:cs="Times New Roman"/>
        </w:rPr>
        <w:t>Based on the comprehensive analysis of 20 papers, the following research gaps have been identified that collectively motivate the proposed research topic:</w:t>
      </w:r>
    </w:p>
    <w:p w14:paraId="73B1036C" w14:textId="77777777" w:rsidR="0086519A" w:rsidRPr="0086519A" w:rsidRDefault="00000000">
      <w:pPr>
        <w:pStyle w:val="ListBullet"/>
        <w:rPr>
          <w:rFonts w:cs="Times New Roman"/>
        </w:rPr>
      </w:pPr>
      <w:r w:rsidRPr="0086519A">
        <w:rPr>
          <w:rFonts w:cs="Times New Roman"/>
          <w:b/>
        </w:rPr>
        <w:t xml:space="preserve">Gap 1 </w:t>
      </w:r>
      <w:r w:rsidR="0086519A">
        <w:rPr>
          <w:rFonts w:cs="Times New Roman"/>
          <w:b/>
        </w:rPr>
        <w:t xml:space="preserve">: </w:t>
      </w:r>
      <w:r w:rsidRPr="0086519A">
        <w:rPr>
          <w:rFonts w:cs="Times New Roman"/>
          <w:b/>
        </w:rPr>
        <w:t xml:space="preserve">Reactive vs. Predictive Detection: </w:t>
      </w:r>
      <w:r w:rsidR="0086519A" w:rsidRPr="0086519A">
        <w:rPr>
          <w:rFonts w:cs="Times New Roman"/>
        </w:rPr>
        <w:t>However, most cold-chain anomaly studies in existing works(Xie et al.,Gillespie et al.,Meng et al.,Cil et al.)aim for the detected anomaly onlyafterits occurrence. It's relatively rare to predict cold-chain disruption prior to any damage on the quality of cold-chain products. Change from anomaly detection towards prediction-based disruption modeling is crucial in providing proactive measures, such as re-routing the products, changing refrigerator temperature, prioritizing the inspections.</w:t>
      </w:r>
    </w:p>
    <w:p w14:paraId="68DD3D71" w14:textId="77777777" w:rsidR="0004690D" w:rsidRPr="0086519A" w:rsidRDefault="00000000">
      <w:pPr>
        <w:pStyle w:val="ListBullet"/>
        <w:rPr>
          <w:rFonts w:cs="Times New Roman"/>
        </w:rPr>
      </w:pPr>
      <w:r w:rsidRPr="0086519A">
        <w:rPr>
          <w:rFonts w:cs="Times New Roman"/>
          <w:b/>
        </w:rPr>
        <w:t xml:space="preserve">Gap 2 </w:t>
      </w:r>
      <w:r w:rsidR="0086519A">
        <w:rPr>
          <w:rFonts w:cs="Times New Roman"/>
          <w:b/>
        </w:rPr>
        <w:t>:</w:t>
      </w:r>
      <w:r w:rsidRPr="0086519A">
        <w:rPr>
          <w:rFonts w:cs="Times New Roman"/>
          <w:b/>
        </w:rPr>
        <w:t xml:space="preserve"> Explainability Deficit in Cold-Chain ML: </w:t>
      </w:r>
      <w:r w:rsidR="0086519A" w:rsidRPr="0086519A">
        <w:rPr>
          <w:rFonts w:cs="Times New Roman"/>
        </w:rPr>
        <w:t>Although SHAP and LIME have been used to supply chain prediction problems in general (e.g., Islam et al.; Li et al.), none of these have explicitly investigated XAI techniques for cold-chain disruption prediction. Logistics operators and quality assurance departments require insights from the predicted disruption in terms of sensor patterns, characteristics of the shipment, or the external conditions that influence disruption predictions so that the correct measures can be taken.</w:t>
      </w:r>
    </w:p>
    <w:p w14:paraId="0A8B17F5" w14:textId="77777777" w:rsidR="0004690D" w:rsidRPr="00EC5207" w:rsidRDefault="00000000">
      <w:pPr>
        <w:pStyle w:val="ListBullet"/>
        <w:rPr>
          <w:rFonts w:cs="Times New Roman"/>
        </w:rPr>
      </w:pPr>
      <w:r w:rsidRPr="00EC5207">
        <w:rPr>
          <w:rFonts w:cs="Times New Roman"/>
          <w:b/>
        </w:rPr>
        <w:t xml:space="preserve">Gap 3 </w:t>
      </w:r>
      <w:r w:rsidR="0086519A">
        <w:rPr>
          <w:rFonts w:cs="Times New Roman"/>
          <w:b/>
        </w:rPr>
        <w:t>:</w:t>
      </w:r>
      <w:r w:rsidRPr="00EC5207">
        <w:rPr>
          <w:rFonts w:cs="Times New Roman"/>
          <w:b/>
        </w:rPr>
        <w:t xml:space="preserve"> Silent Failure Detection: </w:t>
      </w:r>
      <w:r w:rsidR="0086519A" w:rsidRPr="0086519A">
        <w:rPr>
          <w:rFonts w:cs="Times New Roman"/>
        </w:rPr>
        <w:t>Silent failures that are undetectable by any sensors - while slowly compromising product quality - are the most detrimental class of cold-chain failure. Unfortunately, while the Kaggle Silent Failure Dataset exists (Skarin et al.), existing academic literature doesn’t extend advanced machine learning approaches and explainability techniques to this particular problem. The provided Kaggle baseline (GB F1: 0.89) suggests appropriate objectives that more advanced models should try to improve on.</w:t>
      </w:r>
    </w:p>
    <w:p w14:paraId="1522C7CE" w14:textId="77777777" w:rsidR="0086519A" w:rsidRPr="0086519A" w:rsidRDefault="00000000">
      <w:pPr>
        <w:pStyle w:val="ListBullet"/>
        <w:rPr>
          <w:rFonts w:cs="Times New Roman"/>
        </w:rPr>
      </w:pPr>
      <w:r w:rsidRPr="0086519A">
        <w:rPr>
          <w:rFonts w:cs="Times New Roman"/>
          <w:b/>
        </w:rPr>
        <w:t xml:space="preserve">Gap 4 </w:t>
      </w:r>
      <w:r w:rsidR="0086519A" w:rsidRPr="0086519A">
        <w:rPr>
          <w:rFonts w:cs="Times New Roman"/>
          <w:b/>
        </w:rPr>
        <w:t>:</w:t>
      </w:r>
      <w:r w:rsidRPr="0086519A">
        <w:rPr>
          <w:rFonts w:cs="Times New Roman"/>
          <w:b/>
        </w:rPr>
        <w:t xml:space="preserve"> Multi-Sensor Feature Engineering: </w:t>
      </w:r>
      <w:r w:rsidR="0086519A" w:rsidRPr="0086519A">
        <w:rPr>
          <w:rFonts w:cs="Times New Roman"/>
        </w:rPr>
        <w:t xml:space="preserve">Currently most cold-chain analysis projects utilize temperature as the sole feature. Given the richness of multi-modal sensor information captured from up-to-date IoT devices such as humidity sensors, door open/closed signals, accelerometers and GPS sensors, is greatly untapped. The </w:t>
      </w:r>
      <w:r w:rsidR="0086519A" w:rsidRPr="0086519A">
        <w:rPr>
          <w:rFonts w:cs="Times New Roman"/>
        </w:rPr>
        <w:lastRenderedPageBreak/>
        <w:t>ability to extract such information through feature engineering relating to trends, spatial relations, and interaction between different sensor channels would likely further boost the prediction capabilities.</w:t>
      </w:r>
    </w:p>
    <w:p w14:paraId="7257ED58" w14:textId="77777777" w:rsidR="0086519A" w:rsidRPr="0086519A" w:rsidRDefault="00000000">
      <w:pPr>
        <w:pStyle w:val="ListBullet"/>
        <w:rPr>
          <w:rFonts w:cs="Times New Roman"/>
        </w:rPr>
      </w:pPr>
      <w:r w:rsidRPr="0086519A">
        <w:rPr>
          <w:rFonts w:cs="Times New Roman"/>
          <w:b/>
        </w:rPr>
        <w:t xml:space="preserve">Gap 5 </w:t>
      </w:r>
      <w:r w:rsidR="0086519A" w:rsidRPr="0086519A">
        <w:rPr>
          <w:rFonts w:cs="Times New Roman"/>
          <w:b/>
        </w:rPr>
        <w:t>:</w:t>
      </w:r>
      <w:r w:rsidRPr="0086519A">
        <w:rPr>
          <w:rFonts w:cs="Times New Roman"/>
          <w:b/>
        </w:rPr>
        <w:t xml:space="preserve"> Isolation Forest Enhancement with Explainability: </w:t>
      </w:r>
      <w:r w:rsidR="0086519A" w:rsidRPr="0086519A">
        <w:rPr>
          <w:rFonts w:cs="Times New Roman"/>
        </w:rPr>
        <w:t>An enhanced iForest in the base paper reaches good performance (F1: 0.86, AUC: 0.91), yet the obtained anomaly score is hard to explain. Deep Isolation Forest, from Xu et al., gets higher detectability but no further explainability is provided. The integration of the enhanced isolation method with SHAP based feature explanation for the model could make it an interpretable anomaly detection framework - a method that has not been tested yet.</w:t>
      </w:r>
    </w:p>
    <w:p w14:paraId="32393C0F" w14:textId="77777777" w:rsidR="0086519A" w:rsidRPr="0086519A" w:rsidRDefault="00000000">
      <w:pPr>
        <w:pStyle w:val="ListBullet"/>
        <w:rPr>
          <w:rFonts w:cs="Times New Roman"/>
        </w:rPr>
      </w:pPr>
      <w:r w:rsidRPr="0086519A">
        <w:rPr>
          <w:rFonts w:cs="Times New Roman"/>
          <w:b/>
        </w:rPr>
        <w:t xml:space="preserve">Gap 6 </w:t>
      </w:r>
      <w:r w:rsidR="005F776C">
        <w:rPr>
          <w:rFonts w:cs="Times New Roman"/>
          <w:b/>
        </w:rPr>
        <w:t>:</w:t>
      </w:r>
      <w:r w:rsidRPr="0086519A">
        <w:rPr>
          <w:rFonts w:cs="Times New Roman"/>
          <w:b/>
        </w:rPr>
        <w:t xml:space="preserve"> Benchmark Standardization: </w:t>
      </w:r>
      <w:r w:rsidR="0086519A" w:rsidRPr="0086519A">
        <w:rPr>
          <w:rFonts w:cs="Times New Roman"/>
        </w:rPr>
        <w:t>Unfortunately, there is currently a lack of uniform, publicly accessible cold-chain datasets containing information on possible failure modes for any reasonable comparison. Almost all existing papers provide results from proprietary or simulated cold-chain datasets, so no two methods can directly be compared for example.</w:t>
      </w:r>
    </w:p>
    <w:p w14:paraId="58C1E549" w14:textId="77777777" w:rsidR="0086519A" w:rsidRPr="0086519A" w:rsidRDefault="00000000">
      <w:pPr>
        <w:pStyle w:val="ListBullet"/>
        <w:rPr>
          <w:rFonts w:cs="Times New Roman"/>
        </w:rPr>
      </w:pPr>
      <w:r w:rsidRPr="0086519A">
        <w:rPr>
          <w:rFonts w:cs="Times New Roman"/>
          <w:b/>
        </w:rPr>
        <w:t xml:space="preserve">Gap 7 </w:t>
      </w:r>
      <w:r w:rsidR="005F776C">
        <w:rPr>
          <w:rFonts w:cs="Times New Roman"/>
          <w:b/>
        </w:rPr>
        <w:t>:</w:t>
      </w:r>
      <w:r w:rsidRPr="0086519A">
        <w:rPr>
          <w:rFonts w:cs="Times New Roman"/>
          <w:b/>
        </w:rPr>
        <w:t xml:space="preserve"> Pharmaceutical-Specific Constraints: </w:t>
      </w:r>
      <w:r w:rsidR="0086519A" w:rsidRPr="0086519A">
        <w:rPr>
          <w:rFonts w:cs="Times New Roman"/>
        </w:rPr>
        <w:t>Little research discusses explicitly the unique requirements to pharmaceutical regulations (e.g. GDP, FDA 21 CFR Part 211) requiring not only a detected but also recorded and explained temperature excursion. By leveraging on XAI, the excursion reports with a causal explanation may be automatically drafted in compliance to the regulation.</w:t>
      </w:r>
    </w:p>
    <w:p w14:paraId="2186198F" w14:textId="77777777" w:rsidR="0004690D" w:rsidRPr="005F776C" w:rsidRDefault="00000000" w:rsidP="005F776C">
      <w:pPr>
        <w:pStyle w:val="ListBullet"/>
        <w:rPr>
          <w:rFonts w:cs="Times New Roman"/>
        </w:rPr>
      </w:pPr>
      <w:r w:rsidRPr="005F776C">
        <w:rPr>
          <w:rFonts w:cs="Times New Roman"/>
          <w:b/>
        </w:rPr>
        <w:t xml:space="preserve">Gap 8 </w:t>
      </w:r>
      <w:r w:rsidR="005F776C">
        <w:rPr>
          <w:rFonts w:cs="Times New Roman"/>
          <w:b/>
        </w:rPr>
        <w:t>:</w:t>
      </w:r>
      <w:r w:rsidRPr="005F776C">
        <w:rPr>
          <w:rFonts w:cs="Times New Roman"/>
          <w:b/>
        </w:rPr>
        <w:t xml:space="preserve"> End-to-End Pipeline Integration: </w:t>
      </w:r>
      <w:r w:rsidR="005F776C" w:rsidRPr="005F776C">
        <w:rPr>
          <w:rFonts w:cs="Times New Roman"/>
        </w:rPr>
        <w:t>Current research largely covers these individual pieces (sensor hardware, anomaly detection algorithm, and blockchain for trace) as separate concerns. Instead we focus on creating an integrated pipeline for IoT data ingestion, feature engineering, predictive modeling, explainability, alerting and more.</w:t>
      </w:r>
    </w:p>
    <w:p w14:paraId="308F35FA" w14:textId="77777777" w:rsidR="0004690D" w:rsidRPr="00EC5207" w:rsidRDefault="00000000">
      <w:pPr>
        <w:pStyle w:val="Heading1"/>
        <w:rPr>
          <w:rFonts w:ascii="Times New Roman" w:hAnsi="Times New Roman" w:cs="Times New Roman"/>
          <w:color w:val="auto"/>
        </w:rPr>
      </w:pPr>
      <w:r w:rsidRPr="00EC5207">
        <w:rPr>
          <w:rFonts w:ascii="Times New Roman" w:hAnsi="Times New Roman" w:cs="Times New Roman"/>
        </w:rPr>
        <w:t>5. Motivation for Selecting the Base Paper</w:t>
      </w:r>
    </w:p>
    <w:p w14:paraId="0116860D" w14:textId="77777777" w:rsidR="005F776C" w:rsidRPr="005F776C" w:rsidRDefault="005F776C" w:rsidP="005F776C">
      <w:pPr>
        <w:spacing w:after="120"/>
        <w:rPr>
          <w:rFonts w:cs="Times New Roman"/>
        </w:rPr>
      </w:pPr>
      <w:r w:rsidRPr="005F776C">
        <w:rPr>
          <w:rFonts w:cs="Times New Roman"/>
        </w:rPr>
        <w:t>The base paper by Xie et al. (2025), 'An Anomaly Detection Scheme for Data Stream in Cold Chain Logistics,' was selected as the basis for this study due to a variety of compelling factors. First, it directly tackles the primary technical problem – the anomaly detection of data stream in cold chain logistics – using a well-established and easily-adaptable algorithm (Isolation Forest). The sub-sampling and cross factor improvements made to the base iForest demonstrated that the development of algorithms could improve the detection efficiency. (F1-score 0.8639, AUC 0.9064) is used as a basis for future study.</w:t>
      </w:r>
    </w:p>
    <w:p w14:paraId="5821461C" w14:textId="77777777" w:rsidR="005F776C" w:rsidRPr="005F776C" w:rsidRDefault="005F776C" w:rsidP="005F776C">
      <w:pPr>
        <w:spacing w:after="120"/>
        <w:rPr>
          <w:rFonts w:cs="Times New Roman"/>
        </w:rPr>
      </w:pPr>
      <w:r w:rsidRPr="005F776C">
        <w:rPr>
          <w:rFonts w:cs="Times New Roman"/>
        </w:rPr>
        <w:t>Secondly, the framework presented in the base paper can be applied to this proposed study in terms of its data processing, such as its Sliding Window Correlation and data stream architecture. Data stream and its infrastructure from iForest could accept the multi-sensor attributes from the Kaggle dataset (such as temperature, humidity, vibration and door open/close Status) as input. This algorithm can also be incorporated as the anomaly scoring framework and SHAP can add the explainability element that the paper lacked.</w:t>
      </w:r>
    </w:p>
    <w:p w14:paraId="0F8B9284" w14:textId="77777777" w:rsidR="005F776C" w:rsidRDefault="005F776C" w:rsidP="005F776C">
      <w:pPr>
        <w:spacing w:after="120"/>
        <w:rPr>
          <w:rFonts w:cs="Times New Roman"/>
        </w:rPr>
      </w:pPr>
      <w:r w:rsidRPr="005F776C">
        <w:rPr>
          <w:rFonts w:cs="Times New Roman"/>
        </w:rPr>
        <w:t>Third, the inherent limitations outlined in the base study directly mirror the specified gaps in the study areas. The base authors indicate that execution time was an important parameter, as such a method would encourage the study of a more efficient algorithm that is better suited to a faster and more accurate implementation, and is capable of processing the sheer amount of data stream in real-time conditions in large organisations. The base study did not carry out any validation in accordance with an publicly benchmarkable public data, so the use of the Kaggle Cold Chain Shipment Silent Failure Data Set ensures comparability and reproducibility of the project results. It may as a result, help others to identify anomalies and potentially cause disruptions within other projects involving such data. This combination directly addresses Gaps 1, 2, 3 and 5 which have been identified within this literature review.</w:t>
      </w:r>
    </w:p>
    <w:p w14:paraId="788097EF" w14:textId="77777777" w:rsidR="0004690D" w:rsidRPr="00EC5207" w:rsidRDefault="00000000" w:rsidP="005F776C">
      <w:pPr>
        <w:pStyle w:val="Heading1"/>
        <w:rPr>
          <w:rFonts w:ascii="Times New Roman" w:hAnsi="Times New Roman" w:cs="Times New Roman"/>
          <w:color w:val="auto"/>
        </w:rPr>
      </w:pPr>
      <w:r w:rsidRPr="00EC5207">
        <w:rPr>
          <w:rFonts w:ascii="Times New Roman" w:hAnsi="Times New Roman" w:cs="Times New Roman"/>
        </w:rPr>
        <w:lastRenderedPageBreak/>
        <w:t>6. References</w:t>
      </w:r>
    </w:p>
    <w:p w14:paraId="78519EB0" w14:textId="77777777" w:rsidR="0004690D" w:rsidRPr="00EC5207" w:rsidRDefault="00000000">
      <w:pPr>
        <w:spacing w:after="160"/>
        <w:rPr>
          <w:rFonts w:cs="Times New Roman"/>
        </w:rPr>
      </w:pPr>
      <w:r w:rsidRPr="00EC5207">
        <w:rPr>
          <w:rFonts w:cs="Times New Roman"/>
        </w:rPr>
        <w:t>The following is the reference list for all 20 papers reviewed in this literature survey. Complete BibTeX citations are available in the accompanying Excel spreadsheet.</w:t>
      </w:r>
    </w:p>
    <w:p w14:paraId="6E41B14F" w14:textId="77777777" w:rsidR="0004690D" w:rsidRPr="00EC5207" w:rsidRDefault="00000000">
      <w:pPr>
        <w:spacing w:after="60"/>
        <w:ind w:left="283" w:hanging="283"/>
        <w:rPr>
          <w:rFonts w:cs="Times New Roman"/>
        </w:rPr>
      </w:pPr>
      <w:r w:rsidRPr="00EC5207">
        <w:rPr>
          <w:rFonts w:cs="Times New Roman"/>
          <w:b/>
          <w:sz w:val="20"/>
        </w:rPr>
        <w:t xml:space="preserve">[1] 2025, Xie et al.. "An Anomaly Detection Scheme for Data Stream in Cold Chain Logistics." PLOS ONE. </w:t>
      </w:r>
      <w:r w:rsidRPr="00EC5207">
        <w:rPr>
          <w:rFonts w:cs="Segoe UI Symbol"/>
          <w:b/>
          <w:sz w:val="20"/>
        </w:rPr>
        <w:t>★</w:t>
      </w:r>
      <w:r w:rsidRPr="00EC5207">
        <w:rPr>
          <w:rFonts w:cs="Times New Roman"/>
          <w:b/>
          <w:sz w:val="20"/>
        </w:rPr>
        <w:t xml:space="preserve"> [BASE PAPER]</w:t>
      </w:r>
    </w:p>
    <w:p w14:paraId="693C08C6" w14:textId="77777777" w:rsidR="0004690D" w:rsidRPr="00EC5207" w:rsidRDefault="00000000">
      <w:pPr>
        <w:spacing w:after="60"/>
        <w:ind w:left="283" w:hanging="283"/>
        <w:rPr>
          <w:rFonts w:cs="Times New Roman"/>
        </w:rPr>
      </w:pPr>
      <w:r w:rsidRPr="00EC5207">
        <w:rPr>
          <w:rFonts w:cs="Times New Roman"/>
          <w:sz w:val="20"/>
        </w:rPr>
        <w:t>[2] 2023, Gillespie et al.. "Real-Time Anomaly Detection in Cold Chain Transportation Using IoT Technology." Sustainability (MDPI).</w:t>
      </w:r>
    </w:p>
    <w:p w14:paraId="3F29957B" w14:textId="77777777" w:rsidR="0004690D" w:rsidRPr="00EC5207" w:rsidRDefault="00000000">
      <w:pPr>
        <w:spacing w:after="60"/>
        <w:ind w:left="283" w:hanging="283"/>
        <w:rPr>
          <w:rFonts w:cs="Times New Roman"/>
        </w:rPr>
      </w:pPr>
      <w:r w:rsidRPr="00EC5207">
        <w:rPr>
          <w:rFonts w:cs="Times New Roman"/>
          <w:sz w:val="20"/>
        </w:rPr>
        <w:t>[3] 2023, Wu et al.. "Internet of Everything and Digital Twin Enabled Service Platform for Cold Chain Logistics." Journal of Industrial Information Integration (Elsevier).</w:t>
      </w:r>
    </w:p>
    <w:p w14:paraId="39586BB2" w14:textId="77777777" w:rsidR="0004690D" w:rsidRPr="00EC5207" w:rsidRDefault="00000000">
      <w:pPr>
        <w:spacing w:after="60"/>
        <w:ind w:left="283" w:hanging="283"/>
        <w:rPr>
          <w:rFonts w:cs="Times New Roman"/>
        </w:rPr>
      </w:pPr>
      <w:r w:rsidRPr="00EC5207">
        <w:rPr>
          <w:rFonts w:cs="Times New Roman"/>
          <w:sz w:val="20"/>
        </w:rPr>
        <w:t>[4] 2024, Meng et al.. "A Cost-Effective Over-Temperature Alarm System for Cold Chain Delivery." Journal of Food Engineering (Elsevier).</w:t>
      </w:r>
    </w:p>
    <w:p w14:paraId="1028679B" w14:textId="77777777" w:rsidR="0004690D" w:rsidRPr="00EC5207" w:rsidRDefault="00000000">
      <w:pPr>
        <w:spacing w:after="60"/>
        <w:ind w:left="283" w:hanging="283"/>
        <w:rPr>
          <w:rFonts w:cs="Times New Roman"/>
        </w:rPr>
      </w:pPr>
      <w:r w:rsidRPr="00EC5207">
        <w:rPr>
          <w:rFonts w:cs="Times New Roman"/>
          <w:sz w:val="20"/>
        </w:rPr>
        <w:t>[5] 2022, Xu et al.. "Deep Isolation Forest for Anomaly Detection." IEEE Transactions on Knowledge and Data Engineering.</w:t>
      </w:r>
    </w:p>
    <w:p w14:paraId="791B53E9" w14:textId="77777777" w:rsidR="0004690D" w:rsidRPr="00EC5207" w:rsidRDefault="00000000">
      <w:pPr>
        <w:spacing w:after="60"/>
        <w:ind w:left="283" w:hanging="283"/>
        <w:rPr>
          <w:rFonts w:cs="Times New Roman"/>
        </w:rPr>
      </w:pPr>
      <w:r w:rsidRPr="00EC5207">
        <w:rPr>
          <w:rFonts w:cs="Times New Roman"/>
          <w:sz w:val="20"/>
        </w:rPr>
        <w:t>[6] 2024, Jiang et al.. "Internet of Things (IoT)-Enabled Framework for a Sustainable Vaccine Cold Chain Management System." Heliyon (Elsevier / Cell Press).</w:t>
      </w:r>
    </w:p>
    <w:p w14:paraId="286F1119" w14:textId="77777777" w:rsidR="0004690D" w:rsidRPr="00EC5207" w:rsidRDefault="00000000">
      <w:pPr>
        <w:spacing w:after="60"/>
        <w:ind w:left="283" w:hanging="283"/>
        <w:rPr>
          <w:rFonts w:cs="Times New Roman"/>
        </w:rPr>
      </w:pPr>
      <w:r w:rsidRPr="00EC5207">
        <w:rPr>
          <w:rFonts w:cs="Times New Roman"/>
          <w:sz w:val="20"/>
        </w:rPr>
        <w:t>[7] 2023, Hu et al.. "Vaccine Supply Chain Management: An Intelligent System Utilizing Blockchain, IoT and Machine Learning." Journal of Business Research (Elsevier).</w:t>
      </w:r>
    </w:p>
    <w:p w14:paraId="47EFC4DF" w14:textId="77777777" w:rsidR="0004690D" w:rsidRPr="00EC5207" w:rsidRDefault="00000000">
      <w:pPr>
        <w:spacing w:after="60"/>
        <w:ind w:left="283" w:hanging="283"/>
        <w:rPr>
          <w:rFonts w:cs="Times New Roman"/>
        </w:rPr>
      </w:pPr>
      <w:r w:rsidRPr="00EC5207">
        <w:rPr>
          <w:rFonts w:cs="Times New Roman"/>
          <w:sz w:val="20"/>
        </w:rPr>
        <w:t>[8] 2024, Skarin et al.. "Silent Failures in Cold Chain Shipments: A Data-Driven Analysis." Kaggle Dataset / Linköping University Research Report.</w:t>
      </w:r>
    </w:p>
    <w:p w14:paraId="54608237" w14:textId="77777777" w:rsidR="0004690D" w:rsidRPr="00EC5207" w:rsidRDefault="00000000">
      <w:pPr>
        <w:spacing w:after="60"/>
        <w:ind w:left="283" w:hanging="283"/>
        <w:rPr>
          <w:rFonts w:cs="Times New Roman"/>
        </w:rPr>
      </w:pPr>
      <w:r w:rsidRPr="00EC5207">
        <w:rPr>
          <w:rFonts w:cs="Times New Roman"/>
          <w:sz w:val="20"/>
        </w:rPr>
        <w:t>[9] 2025, Nozari et al.. "Optimizing Cold Chain Logistics with Artificial Intelligence of Things (AIoT): A Model for Reducing Operational and Transportation Costs." Future Transportation (MDPI).</w:t>
      </w:r>
    </w:p>
    <w:p w14:paraId="157064B4" w14:textId="77777777" w:rsidR="0004690D" w:rsidRPr="00EC5207" w:rsidRDefault="00000000">
      <w:pPr>
        <w:spacing w:after="60"/>
        <w:ind w:left="283" w:hanging="283"/>
        <w:rPr>
          <w:rFonts w:cs="Times New Roman"/>
        </w:rPr>
      </w:pPr>
      <w:r w:rsidRPr="00EC5207">
        <w:rPr>
          <w:rFonts w:cs="Times New Roman"/>
          <w:sz w:val="20"/>
        </w:rPr>
        <w:t>[10] 2024, Chen et al.. "Real-Time Temperature Anomaly Detection in Vaccine Refrigeration Systems Using Deep Learning on a Resource-Constrained Microcontroller." Frontiers in Artificial Intelligence.</w:t>
      </w:r>
    </w:p>
    <w:p w14:paraId="13D41660" w14:textId="77777777" w:rsidR="0004690D" w:rsidRPr="00EC5207" w:rsidRDefault="00000000">
      <w:pPr>
        <w:spacing w:after="60"/>
        <w:ind w:left="283" w:hanging="283"/>
        <w:rPr>
          <w:rFonts w:cs="Times New Roman"/>
        </w:rPr>
      </w:pPr>
      <w:r w:rsidRPr="00EC5207">
        <w:rPr>
          <w:rFonts w:cs="Times New Roman"/>
          <w:sz w:val="20"/>
        </w:rPr>
        <w:t>[11] 2021, Konovalenko &amp; Ludwig. "Comparison of Machine Learning Classifiers: A Case Study of Temperature Alarms in a Pharmaceutical Supply Chain." Information Systems (Elsevier).</w:t>
      </w:r>
    </w:p>
    <w:p w14:paraId="4A6B1134" w14:textId="77777777" w:rsidR="0004690D" w:rsidRPr="00EC5207" w:rsidRDefault="00000000">
      <w:pPr>
        <w:spacing w:after="60"/>
        <w:ind w:left="283" w:hanging="283"/>
        <w:rPr>
          <w:rFonts w:cs="Times New Roman"/>
        </w:rPr>
      </w:pPr>
      <w:r w:rsidRPr="00EC5207">
        <w:rPr>
          <w:rFonts w:cs="Times New Roman"/>
          <w:sz w:val="20"/>
        </w:rPr>
        <w:t>[12] 2024, Zhang et al.. "Anomaly Detection for Cold Chain Logistics Time-Series Data Using Transformer-Based Models." Applied Sciences (MDPI).</w:t>
      </w:r>
    </w:p>
    <w:p w14:paraId="087FD7CD" w14:textId="77777777" w:rsidR="0004690D" w:rsidRPr="00EC5207" w:rsidRDefault="00000000">
      <w:pPr>
        <w:spacing w:after="60"/>
        <w:ind w:left="283" w:hanging="283"/>
        <w:rPr>
          <w:rFonts w:cs="Times New Roman"/>
        </w:rPr>
      </w:pPr>
      <w:r w:rsidRPr="00EC5207">
        <w:rPr>
          <w:rFonts w:cs="Times New Roman"/>
          <w:sz w:val="20"/>
        </w:rPr>
        <w:t>[13] 2025, Islam et al.. "Explainable Machine-Learning Framework for Predicting Delivery Delays and Risk in Smart Supply Chains." 2025 International Conference on Quantum Photonics, Artificial Intelligence, and Networking (QPAIN) — IEEE.</w:t>
      </w:r>
    </w:p>
    <w:p w14:paraId="2B869A22" w14:textId="77777777" w:rsidR="0004690D" w:rsidRPr="00EC5207" w:rsidRDefault="00000000">
      <w:pPr>
        <w:spacing w:after="60"/>
        <w:ind w:left="283" w:hanging="283"/>
        <w:rPr>
          <w:rFonts w:cs="Times New Roman"/>
        </w:rPr>
      </w:pPr>
      <w:r w:rsidRPr="00EC5207">
        <w:rPr>
          <w:rFonts w:cs="Times New Roman"/>
          <w:sz w:val="20"/>
        </w:rPr>
        <w:t>[14] 2023, Li et al.. "Explainable AI for Predictive Maintenance in Industrial IoT: A SHAP-Based Approach." IEEE Internet of Things Journal.</w:t>
      </w:r>
    </w:p>
    <w:p w14:paraId="65D3C8D7" w14:textId="77777777" w:rsidR="0004690D" w:rsidRPr="00EC5207" w:rsidRDefault="00000000">
      <w:pPr>
        <w:spacing w:after="60"/>
        <w:ind w:left="283" w:hanging="283"/>
        <w:rPr>
          <w:rFonts w:cs="Times New Roman"/>
        </w:rPr>
      </w:pPr>
      <w:r w:rsidRPr="00EC5207">
        <w:rPr>
          <w:rFonts w:cs="Times New Roman"/>
          <w:sz w:val="20"/>
        </w:rPr>
        <w:t>[15] 2025, Sattar et al.. "Enhancing Supply Chain Management: A Comparative Study of Machine Learning Techniques with Cost-Accuracy Trade-Off Analysis." Sustainability (MDPI).</w:t>
      </w:r>
    </w:p>
    <w:p w14:paraId="08CCCCAE" w14:textId="77777777" w:rsidR="0004690D" w:rsidRPr="00EC5207" w:rsidRDefault="00000000">
      <w:pPr>
        <w:spacing w:after="60"/>
        <w:ind w:left="283" w:hanging="283"/>
        <w:rPr>
          <w:rFonts w:cs="Times New Roman"/>
        </w:rPr>
      </w:pPr>
      <w:r w:rsidRPr="00EC5207">
        <w:rPr>
          <w:rFonts w:cs="Times New Roman"/>
          <w:sz w:val="20"/>
        </w:rPr>
        <w:t>[16] 2024, Douaioui et al.. "Machine Learning and Deep Learning Models for Demand Forecasting in Supply Chain Management: A Critical Review." Applied System Innovation (MDPI).</w:t>
      </w:r>
    </w:p>
    <w:p w14:paraId="33D4EA41" w14:textId="77777777" w:rsidR="0004690D" w:rsidRPr="00EC5207" w:rsidRDefault="00000000">
      <w:pPr>
        <w:spacing w:after="60"/>
        <w:ind w:left="283" w:hanging="283"/>
        <w:rPr>
          <w:rFonts w:cs="Times New Roman"/>
        </w:rPr>
      </w:pPr>
      <w:r w:rsidRPr="00EC5207">
        <w:rPr>
          <w:rFonts w:cs="Times New Roman"/>
          <w:sz w:val="20"/>
        </w:rPr>
        <w:t>[17] 2024, Wang et al.. "Cold Chain Logistics Temperature Prediction Based on K-Medoids-LSTM-XGBoost Ensemble Model." Sensors (MDPI).</w:t>
      </w:r>
    </w:p>
    <w:p w14:paraId="0A2B9E8D" w14:textId="77777777" w:rsidR="0004690D" w:rsidRPr="00EC5207" w:rsidRDefault="00000000">
      <w:pPr>
        <w:spacing w:after="60"/>
        <w:ind w:left="283" w:hanging="283"/>
        <w:rPr>
          <w:rFonts w:cs="Times New Roman"/>
        </w:rPr>
      </w:pPr>
      <w:r w:rsidRPr="00EC5207">
        <w:rPr>
          <w:rFonts w:cs="Times New Roman"/>
          <w:sz w:val="20"/>
        </w:rPr>
        <w:t>[18] 2025, Martinez et al.. "GAN-Based and Signal Processing Approaches for Real-Time Anomaly Detection and Predictive Alerts in Cold Chain Monitoring." Instrumentation Mesure Métrologie (IIETA).</w:t>
      </w:r>
    </w:p>
    <w:p w14:paraId="466E4005" w14:textId="77777777" w:rsidR="0004690D" w:rsidRPr="00EC5207" w:rsidRDefault="00000000">
      <w:pPr>
        <w:spacing w:after="60"/>
        <w:ind w:left="283" w:hanging="283"/>
        <w:rPr>
          <w:rFonts w:cs="Times New Roman"/>
        </w:rPr>
      </w:pPr>
      <w:r w:rsidRPr="00EC5207">
        <w:rPr>
          <w:rFonts w:cs="Times New Roman"/>
          <w:sz w:val="20"/>
        </w:rPr>
        <w:t>[19] 2024, Hezam et al.. "Artificial Intelligence's Impact on Drug Delivery in Healthcare Supply Chain Management: Data, Techniques, and Future Research." Journal of Big Data (Springer).</w:t>
      </w:r>
    </w:p>
    <w:p w14:paraId="63CB28A7" w14:textId="3BEF41F9" w:rsidR="0004690D" w:rsidRPr="00EC5207" w:rsidRDefault="00000000" w:rsidP="00FD6F9B">
      <w:pPr>
        <w:spacing w:after="60"/>
        <w:ind w:left="283" w:hanging="283"/>
        <w:rPr>
          <w:rFonts w:cs="Times New Roman"/>
        </w:rPr>
      </w:pPr>
      <w:r w:rsidRPr="00EC5207">
        <w:rPr>
          <w:rFonts w:cs="Times New Roman"/>
          <w:sz w:val="20"/>
        </w:rPr>
        <w:lastRenderedPageBreak/>
        <w:t>[20] 2022, Cil et al.. "Internet of Things Enabled Real-Time Cold Chain Monitoring in a Container Port." Journal of Shipping and Trade (Springer).</w:t>
      </w:r>
    </w:p>
    <w:sectPr w:rsidR="0004690D" w:rsidRPr="00EC5207"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3EC6" w14:textId="77777777" w:rsidR="00BD77FF" w:rsidRDefault="00BD77FF">
      <w:pPr>
        <w:spacing w:after="0" w:line="240" w:lineRule="auto"/>
      </w:pPr>
      <w:r>
        <w:separator/>
      </w:r>
    </w:p>
  </w:endnote>
  <w:endnote w:type="continuationSeparator" w:id="0">
    <w:p w14:paraId="0260A72F" w14:textId="77777777" w:rsidR="00BD77FF" w:rsidRDefault="00BD7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EBA3" w14:textId="77777777" w:rsidR="007445A0" w:rsidRDefault="00000000">
    <w:pPr>
      <w:pStyle w:val="Footer"/>
      <w:jc w:val="center"/>
    </w:pPr>
    <w:r>
      <w:rPr>
        <w:color w:val="666666"/>
        <w:sz w:val="18"/>
      </w:rPr>
      <w:fldChar w:fldCharType="begin"/>
    </w:r>
    <w:r>
      <w:rPr>
        <w:color w:val="666666"/>
        <w:sz w:val="18"/>
      </w:rPr>
      <w:instrText xml:space="preserve"> PAGE </w:instrText>
    </w:r>
    <w:r w:rsidR="004E2E03">
      <w:rPr>
        <w:color w:val="666666"/>
        <w:sz w:val="18"/>
      </w:rPr>
      <w:fldChar w:fldCharType="separate"/>
    </w:r>
    <w:r w:rsidR="004E2E03">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1C26E" w14:textId="77777777" w:rsidR="00BD77FF" w:rsidRDefault="00BD77FF">
      <w:pPr>
        <w:spacing w:after="0" w:line="240" w:lineRule="auto"/>
      </w:pPr>
      <w:r>
        <w:separator/>
      </w:r>
    </w:p>
  </w:footnote>
  <w:footnote w:type="continuationSeparator" w:id="0">
    <w:p w14:paraId="61793562" w14:textId="77777777" w:rsidR="00BD77FF" w:rsidRDefault="00BD7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D06D32A"/>
    <w:lvl w:ilvl="0">
      <w:start w:val="1"/>
      <w:numFmt w:val="bullet"/>
      <w:pStyle w:val="ListBullet"/>
      <w:lvlText w:val=""/>
      <w:lvlJc w:val="left"/>
      <w:pPr>
        <w:tabs>
          <w:tab w:val="num" w:pos="360"/>
        </w:tabs>
        <w:ind w:left="360" w:hanging="360"/>
      </w:pPr>
      <w:rPr>
        <w:rFonts w:ascii="Symbol" w:hAnsi="Symbol" w:hint="default"/>
      </w:rPr>
    </w:lvl>
  </w:abstractNum>
  <w:num w:numId="1" w16cid:durableId="244926294">
    <w:abstractNumId w:val="8"/>
  </w:num>
  <w:num w:numId="2" w16cid:durableId="1369917657">
    <w:abstractNumId w:val="6"/>
  </w:num>
  <w:num w:numId="3" w16cid:durableId="391852456">
    <w:abstractNumId w:val="5"/>
  </w:num>
  <w:num w:numId="4" w16cid:durableId="1846551838">
    <w:abstractNumId w:val="4"/>
  </w:num>
  <w:num w:numId="5" w16cid:durableId="171261949">
    <w:abstractNumId w:val="7"/>
  </w:num>
  <w:num w:numId="6" w16cid:durableId="850870604">
    <w:abstractNumId w:val="3"/>
  </w:num>
  <w:num w:numId="7" w16cid:durableId="1949849236">
    <w:abstractNumId w:val="2"/>
  </w:num>
  <w:num w:numId="8" w16cid:durableId="441610319">
    <w:abstractNumId w:val="1"/>
  </w:num>
  <w:num w:numId="9" w16cid:durableId="26196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0D"/>
    <w:rsid w:val="0006063C"/>
    <w:rsid w:val="00082AD3"/>
    <w:rsid w:val="000B7DE0"/>
    <w:rsid w:val="0015074B"/>
    <w:rsid w:val="0017661A"/>
    <w:rsid w:val="002806A9"/>
    <w:rsid w:val="0029639D"/>
    <w:rsid w:val="00326F90"/>
    <w:rsid w:val="004E2E03"/>
    <w:rsid w:val="0053762F"/>
    <w:rsid w:val="005F776C"/>
    <w:rsid w:val="007445A0"/>
    <w:rsid w:val="00862F02"/>
    <w:rsid w:val="0086519A"/>
    <w:rsid w:val="00AA1D8D"/>
    <w:rsid w:val="00B47730"/>
    <w:rsid w:val="00BD77FF"/>
    <w:rsid w:val="00C741CF"/>
    <w:rsid w:val="00C74AFD"/>
    <w:rsid w:val="00CB0664"/>
    <w:rsid w:val="00EC5207"/>
    <w:rsid w:val="00F668B5"/>
    <w:rsid w:val="00FC693F"/>
    <w:rsid w:val="00FD6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BCA6B"/>
  <w14:defaultImageDpi w14:val="300"/>
  <w15:docId w15:val="{59652632-E6CF-4642-8FA9-5502618C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4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2E03"/>
    <w:rPr>
      <w:color w:val="0000FF" w:themeColor="hyperlink"/>
      <w:u w:val="single"/>
    </w:rPr>
  </w:style>
  <w:style w:type="character" w:styleId="UnresolvedMention">
    <w:name w:val="Unresolved Mention"/>
    <w:basedOn w:val="DefaultParagraphFont"/>
    <w:uiPriority w:val="99"/>
    <w:semiHidden/>
    <w:unhideWhenUsed/>
    <w:rsid w:val="004E2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karin/cold-chain-shipment-silent-failure-datas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4488</Words>
  <Characters>25582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Udhav Dhandia</cp:lastModifiedBy>
  <cp:revision>7</cp:revision>
  <dcterms:created xsi:type="dcterms:W3CDTF">2026-06-28T13:23:00Z</dcterms:created>
  <dcterms:modified xsi:type="dcterms:W3CDTF">2026-06-28T13:33:00Z</dcterms:modified>
  <cp:category/>
</cp:coreProperties>
</file>