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widowControl/>
        <w:spacing w:before="880"/>
        <w:jc w:val="center"/>
      </w:pPr>
      <w:r>
        <w:rPr>
          <w:rFonts w:ascii="Aptos Display" w:hAnsi="Aptos Display"/>
          <w:b/>
          <w:color w:val="1E3A5F"/>
          <w:sz w:val="72"/>
        </w:rPr>
        <w:t>PROOFGRID</w:t>
      </w:r>
    </w:p>
    <w:p>
      <w:pPr>
        <w:keepLines w:val="0"/>
        <w:widowControl/>
        <w:jc w:val="center"/>
      </w:pPr>
      <w:r>
        <w:rPr>
          <w:rFonts w:ascii="Aptos Display" w:hAnsi="Aptos Display"/>
          <w:b/>
          <w:color w:val="265D97"/>
          <w:sz w:val="40"/>
        </w:rPr>
        <w:t>AI Data Intelligence Platform</w:t>
      </w:r>
    </w:p>
    <w:p>
      <w:pPr>
        <w:keepLines w:val="0"/>
        <w:widowControl/>
        <w:jc w:val="center"/>
      </w:pPr>
      <w:r>
        <w:rPr>
          <w:rFonts w:ascii="Aptos" w:hAnsi="Aptos"/>
          <w:i/>
          <w:color w:val="5D6D7E"/>
          <w:sz w:val="26"/>
        </w:rPr>
        <w:t>Turn a question into a dataset you can prove.</w:t>
      </w:r>
    </w:p>
    <w:p>
      <w:pPr>
        <w:keepLines w:val="0"/>
        <w:widowControl/>
      </w:pPr>
    </w:p>
    <w:tbl>
      <w:tblPr>
        <w:tblW w:type="auto" w:w="0"/>
        <w:jc w:val="center"/>
        <w:tblLayout w:type="autofit"/>
        <w:tblLook w:firstColumn="1" w:firstRow="1" w:lastColumn="0" w:lastRow="0" w:noHBand="0" w:noVBand="1" w:val="04A0"/>
      </w:tblPr>
      <w:tblGrid>
        <w:gridCol w:w="10282"/>
      </w:tblGrid>
      <w:tr>
        <w:trPr>
          <w:cantSplit/>
        </w:trPr>
        <w:tc>
          <w:tcPr>
            <w:tcW w:type="dxa" w:w="10282"/>
            <w:shd w:fill="EDF6F9"/>
            <w:tcBorders>
              <w:top w:val="single" w:sz="8" w:color="265D97"/>
              <w:left w:val="single" w:sz="8" w:color="265D97"/>
              <w:bottom w:val="single" w:sz="8" w:color="265D97"/>
              <w:right w:val="single" w:sz="8" w:color="265D97"/>
            </w:tcBorders>
          </w:tcPr>
          <w:p>
            <w:pPr>
              <w:spacing w:after="40"/>
            </w:pPr>
            <w:r>
              <w:rPr>
                <w:rFonts w:ascii="Aptos" w:hAnsi="Aptos"/>
                <w:b/>
                <w:color w:val="1E3A5F"/>
                <w:sz w:val="22"/>
              </w:rPr>
              <w:t>Product thesis</w:t>
            </w:r>
          </w:p>
          <w:p>
            <w:pPr>
              <w:spacing w:after="0"/>
            </w:pPr>
            <w:r>
              <w:rPr>
                <w:rFonts w:ascii="Aptos" w:hAnsi="Aptos"/>
                <w:color w:val="17202A"/>
                <w:sz w:val="19"/>
              </w:rPr>
              <w:t>Prompt-to-table is becoming commodity. ProofGrid differentiates by compiling a business question plus explicit trust requirements into a reproducible, living dataset where every important field can show its evidence, transformations, conflicts, and history.</w:t>
            </w:r>
          </w:p>
        </w:tc>
      </w:tr>
    </w:tbl>
    <w:p>
      <w:pPr>
        <w:keepLines w:val="0"/>
        <w:widowControl/>
        <w:spacing w:after="0"/>
      </w:pP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2448"/>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8"/>
              </w:rPr>
              <w:t>Field</w:t>
            </w:r>
          </w:p>
        </w:tc>
        <w:tc>
          <w:tcPr>
            <w:tcW w:type="dxa" w:w="7056"/>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8"/>
              </w:rPr>
              <w:t>Decision</w:t>
            </w:r>
          </w:p>
        </w:tc>
      </w:tr>
      <w:tr>
        <w:trPr>
          <w:cantSplit/>
        </w:trPr>
        <w:tc>
          <w:tcPr>
            <w:tcW w:type="dxa" w:w="244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8"/>
              </w:rPr>
              <w:t>Hackathon</w:t>
            </w:r>
          </w:p>
        </w:tc>
        <w:tc>
          <w:tcPr>
            <w:tcW w:type="dxa" w:w="705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8"/>
              </w:rPr>
              <w:t>Code Cubicle 6.0 - Geek Room</w:t>
            </w:r>
          </w:p>
        </w:tc>
      </w:tr>
      <w:tr>
        <w:trPr>
          <w:cantSplit/>
        </w:trPr>
        <w:tc>
          <w:tcPr>
            <w:tcW w:type="dxa" w:w="244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8"/>
              </w:rPr>
              <w:t>Problem statement</w:t>
            </w:r>
          </w:p>
        </w:tc>
        <w:tc>
          <w:tcPr>
            <w:tcW w:type="dxa" w:w="705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8"/>
              </w:rPr>
              <w:t>PS 01 - AI-Powered Data Intelligence Platform</w:t>
            </w:r>
          </w:p>
        </w:tc>
      </w:tr>
      <w:tr>
        <w:trPr>
          <w:cantSplit/>
        </w:trPr>
        <w:tc>
          <w:tcPr>
            <w:tcW w:type="dxa" w:w="244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8"/>
              </w:rPr>
              <w:t>Document</w:t>
            </w:r>
          </w:p>
        </w:tc>
        <w:tc>
          <w:tcPr>
            <w:tcW w:type="dxa" w:w="705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8"/>
              </w:rPr>
              <w:t>Product Requirements Document (PRD)</w:t>
            </w:r>
          </w:p>
        </w:tc>
      </w:tr>
      <w:tr>
        <w:trPr>
          <w:cantSplit/>
        </w:trPr>
        <w:tc>
          <w:tcPr>
            <w:tcW w:type="dxa" w:w="244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8"/>
              </w:rPr>
              <w:t>Version / status</w:t>
            </w:r>
          </w:p>
        </w:tc>
        <w:tc>
          <w:tcPr>
            <w:tcW w:type="dxa" w:w="705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8"/>
              </w:rPr>
              <w:t>v1.0 - Build-ready product definition</w:t>
            </w:r>
          </w:p>
        </w:tc>
      </w:tr>
      <w:tr>
        <w:trPr>
          <w:cantSplit/>
        </w:trPr>
        <w:tc>
          <w:tcPr>
            <w:tcW w:type="dxa" w:w="244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8"/>
              </w:rPr>
              <w:t>Primary demo vertical</w:t>
            </w:r>
          </w:p>
        </w:tc>
        <w:tc>
          <w:tcPr>
            <w:tcW w:type="dxa" w:w="705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8"/>
              </w:rPr>
              <w:t>Indian AI startup funding intelligence</w:t>
            </w:r>
          </w:p>
        </w:tc>
      </w:tr>
      <w:tr>
        <w:trPr>
          <w:cantSplit/>
        </w:trPr>
        <w:tc>
          <w:tcPr>
            <w:tcW w:type="dxa" w:w="244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8"/>
              </w:rPr>
              <w:t>Architecture intent</w:t>
            </w:r>
          </w:p>
        </w:tc>
        <w:tc>
          <w:tcPr>
            <w:tcW w:type="dxa" w:w="705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8"/>
              </w:rPr>
              <w:t>Generic engine; narrow, highly reliable demo domain</w:t>
            </w:r>
          </w:p>
        </w:tc>
      </w:tr>
    </w:tbl>
    <w:p>
      <w:pPr>
        <w:keepLines w:val="0"/>
        <w:widowControl/>
        <w:spacing w:after="0"/>
      </w:pPr>
    </w:p>
    <w:p>
      <w:pPr>
        <w:keepLines w:val="0"/>
        <w:widowControl/>
        <w:spacing w:before="200"/>
        <w:jc w:val="center"/>
      </w:pPr>
      <w:r>
        <w:rPr>
          <w:rFonts w:ascii="Aptos" w:hAnsi="Aptos"/>
          <w:color w:val="5D6D7E"/>
          <w:sz w:val="17"/>
        </w:rPr>
        <w:t>Prepared from the official problem statement, three deep-research outputs, and targeted verification of current market/sponsor capabilities.</w:t>
      </w:r>
    </w:p>
    <w:p>
      <w:pPr>
        <w:keepLines w:val="0"/>
        <w:widowControl/>
      </w:pPr>
      <w:r>
        <w:br w:type="page"/>
      </w:r>
    </w:p>
    <w:p>
      <w:pPr>
        <w:pStyle w:val="Heading1"/>
        <w:keepLines w:val="0"/>
        <w:widowControl/>
      </w:pPr>
      <w:r>
        <w:t>Contents</w:t>
      </w:r>
    </w:p>
    <w:p>
      <w:pPr>
        <w:keepLines w:val="0"/>
        <w:widowControl/>
        <w:spacing w:after="40"/>
        <w:ind w:left="72" w:hanging="29"/>
      </w:pPr>
      <w:r>
        <w:rPr>
          <w:rFonts w:ascii="Aptos" w:hAnsi="Aptos"/>
          <w:color w:val="17202A"/>
          <w:sz w:val="20"/>
        </w:rPr>
        <w:t xml:space="preserve">1. </w:t>
      </w:r>
      <w:r>
        <w:rPr>
          <w:rFonts w:ascii="Aptos" w:hAnsi="Aptos"/>
          <w:color w:val="17202A"/>
          <w:sz w:val="20"/>
        </w:rPr>
        <w:t>Executive summary</w:t>
      </w:r>
    </w:p>
    <w:p>
      <w:pPr>
        <w:keepLines w:val="0"/>
        <w:widowControl/>
        <w:spacing w:after="40"/>
        <w:ind w:left="72" w:hanging="29"/>
      </w:pPr>
      <w:r>
        <w:rPr>
          <w:rFonts w:ascii="Aptos" w:hAnsi="Aptos"/>
          <w:color w:val="17202A"/>
          <w:sz w:val="20"/>
        </w:rPr>
        <w:t xml:space="preserve">2. </w:t>
      </w:r>
      <w:r>
        <w:rPr>
          <w:rFonts w:ascii="Aptos" w:hAnsi="Aptos"/>
          <w:color w:val="17202A"/>
          <w:sz w:val="20"/>
        </w:rPr>
        <w:t>Product decision and positioning</w:t>
      </w:r>
    </w:p>
    <w:p>
      <w:pPr>
        <w:keepLines w:val="0"/>
        <w:widowControl/>
        <w:spacing w:after="40"/>
        <w:ind w:left="72" w:hanging="29"/>
      </w:pPr>
      <w:r>
        <w:rPr>
          <w:rFonts w:ascii="Aptos" w:hAnsi="Aptos"/>
          <w:color w:val="17202A"/>
          <w:sz w:val="20"/>
        </w:rPr>
        <w:t xml:space="preserve">3. </w:t>
      </w:r>
      <w:r>
        <w:rPr>
          <w:rFonts w:ascii="Aptos" w:hAnsi="Aptos"/>
          <w:color w:val="17202A"/>
          <w:sz w:val="20"/>
        </w:rPr>
        <w:t>Problem definition</w:t>
      </w:r>
    </w:p>
    <w:p>
      <w:pPr>
        <w:keepLines w:val="0"/>
        <w:widowControl/>
        <w:spacing w:after="40"/>
        <w:ind w:left="72" w:hanging="29"/>
      </w:pPr>
      <w:r>
        <w:rPr>
          <w:rFonts w:ascii="Aptos" w:hAnsi="Aptos"/>
          <w:color w:val="17202A"/>
          <w:sz w:val="20"/>
        </w:rPr>
        <w:t xml:space="preserve">4. </w:t>
      </w:r>
      <w:r>
        <w:rPr>
          <w:rFonts w:ascii="Aptos" w:hAnsi="Aptos"/>
          <w:color w:val="17202A"/>
          <w:sz w:val="20"/>
        </w:rPr>
        <w:t>Users and jobs-to-be-done</w:t>
      </w:r>
    </w:p>
    <w:p>
      <w:pPr>
        <w:keepLines w:val="0"/>
        <w:widowControl/>
        <w:spacing w:after="40"/>
        <w:ind w:left="72" w:hanging="29"/>
      </w:pPr>
      <w:r>
        <w:rPr>
          <w:rFonts w:ascii="Aptos" w:hAnsi="Aptos"/>
          <w:color w:val="17202A"/>
          <w:sz w:val="20"/>
        </w:rPr>
        <w:t xml:space="preserve">5. </w:t>
      </w:r>
      <w:r>
        <w:rPr>
          <w:rFonts w:ascii="Aptos" w:hAnsi="Aptos"/>
          <w:color w:val="17202A"/>
          <w:sz w:val="20"/>
        </w:rPr>
        <w:t>Product principles</w:t>
      </w:r>
    </w:p>
    <w:p>
      <w:pPr>
        <w:keepLines w:val="0"/>
        <w:widowControl/>
        <w:spacing w:after="40"/>
        <w:ind w:left="72" w:hanging="29"/>
      </w:pPr>
      <w:r>
        <w:rPr>
          <w:rFonts w:ascii="Aptos" w:hAnsi="Aptos"/>
          <w:color w:val="17202A"/>
          <w:sz w:val="20"/>
        </w:rPr>
        <w:t xml:space="preserve">6. </w:t>
      </w:r>
      <w:r>
        <w:rPr>
          <w:rFonts w:ascii="Aptos" w:hAnsi="Aptos"/>
          <w:color w:val="17202A"/>
          <w:sz w:val="20"/>
        </w:rPr>
        <w:t>Core innovations</w:t>
      </w:r>
    </w:p>
    <w:p>
      <w:pPr>
        <w:keepLines w:val="0"/>
        <w:widowControl/>
        <w:spacing w:after="40"/>
        <w:ind w:left="72" w:hanging="29"/>
      </w:pPr>
      <w:r>
        <w:rPr>
          <w:rFonts w:ascii="Aptos" w:hAnsi="Aptos"/>
          <w:color w:val="17202A"/>
          <w:sz w:val="20"/>
        </w:rPr>
        <w:t xml:space="preserve">7. </w:t>
      </w:r>
      <w:r>
        <w:rPr>
          <w:rFonts w:ascii="Aptos" w:hAnsi="Aptos"/>
          <w:color w:val="17202A"/>
          <w:sz w:val="20"/>
        </w:rPr>
        <w:t>End-to-end user experience</w:t>
      </w:r>
    </w:p>
    <w:p>
      <w:pPr>
        <w:keepLines w:val="0"/>
        <w:widowControl/>
        <w:spacing w:after="40"/>
        <w:ind w:left="72" w:hanging="29"/>
      </w:pPr>
      <w:r>
        <w:rPr>
          <w:rFonts w:ascii="Aptos" w:hAnsi="Aptos"/>
          <w:color w:val="17202A"/>
          <w:sz w:val="20"/>
        </w:rPr>
        <w:t xml:space="preserve">8. </w:t>
      </w:r>
      <w:r>
        <w:rPr>
          <w:rFonts w:ascii="Aptos" w:hAnsi="Aptos"/>
          <w:color w:val="17202A"/>
          <w:sz w:val="20"/>
        </w:rPr>
        <w:t>Functional requirements</w:t>
      </w:r>
    </w:p>
    <w:p>
      <w:pPr>
        <w:keepLines w:val="0"/>
        <w:widowControl/>
        <w:spacing w:after="40"/>
        <w:ind w:left="72" w:hanging="29"/>
      </w:pPr>
      <w:r>
        <w:rPr>
          <w:rFonts w:ascii="Aptos" w:hAnsi="Aptos"/>
          <w:color w:val="17202A"/>
          <w:sz w:val="20"/>
        </w:rPr>
        <w:t xml:space="preserve">9. </w:t>
      </w:r>
      <w:r>
        <w:rPr>
          <w:rFonts w:ascii="Aptos" w:hAnsi="Aptos"/>
          <w:color w:val="17202A"/>
          <w:sz w:val="20"/>
        </w:rPr>
        <w:t>Trust model and algorithms</w:t>
      </w:r>
    </w:p>
    <w:p>
      <w:pPr>
        <w:keepLines w:val="0"/>
        <w:widowControl/>
        <w:spacing w:after="40"/>
        <w:ind w:left="72" w:hanging="29"/>
      </w:pPr>
      <w:r>
        <w:rPr>
          <w:rFonts w:ascii="Aptos" w:hAnsi="Aptos"/>
          <w:color w:val="17202A"/>
          <w:sz w:val="20"/>
        </w:rPr>
        <w:t xml:space="preserve">10. </w:t>
      </w:r>
      <w:r>
        <w:rPr>
          <w:rFonts w:ascii="Aptos" w:hAnsi="Aptos"/>
          <w:color w:val="17202A"/>
          <w:sz w:val="20"/>
        </w:rPr>
        <w:t>Data model</w:t>
      </w:r>
    </w:p>
    <w:p>
      <w:pPr>
        <w:keepLines w:val="0"/>
        <w:widowControl/>
        <w:spacing w:after="40"/>
        <w:ind w:left="72" w:hanging="29"/>
      </w:pPr>
      <w:r>
        <w:rPr>
          <w:rFonts w:ascii="Aptos" w:hAnsi="Aptos"/>
          <w:color w:val="17202A"/>
          <w:sz w:val="20"/>
        </w:rPr>
        <w:t xml:space="preserve">11. </w:t>
      </w:r>
      <w:r>
        <w:rPr>
          <w:rFonts w:ascii="Aptos" w:hAnsi="Aptos"/>
          <w:color w:val="17202A"/>
          <w:sz w:val="20"/>
        </w:rPr>
        <w:t>System architecture</w:t>
      </w:r>
    </w:p>
    <w:p>
      <w:pPr>
        <w:keepLines w:val="0"/>
        <w:widowControl/>
        <w:spacing w:after="40"/>
        <w:ind w:left="72" w:hanging="29"/>
      </w:pPr>
      <w:r>
        <w:rPr>
          <w:rFonts w:ascii="Aptos" w:hAnsi="Aptos"/>
          <w:color w:val="17202A"/>
          <w:sz w:val="20"/>
        </w:rPr>
        <w:t xml:space="preserve">12. </w:t>
      </w:r>
      <w:r>
        <w:rPr>
          <w:rFonts w:ascii="Aptos" w:hAnsi="Aptos"/>
          <w:color w:val="17202A"/>
          <w:sz w:val="20"/>
        </w:rPr>
        <w:t>MVP scope and non-goals</w:t>
      </w:r>
    </w:p>
    <w:p>
      <w:pPr>
        <w:keepLines w:val="0"/>
        <w:widowControl/>
        <w:spacing w:after="40"/>
        <w:ind w:left="72" w:hanging="29"/>
      </w:pPr>
      <w:r>
        <w:rPr>
          <w:rFonts w:ascii="Aptos" w:hAnsi="Aptos"/>
          <w:color w:val="17202A"/>
          <w:sz w:val="20"/>
        </w:rPr>
        <w:t xml:space="preserve">13. </w:t>
      </w:r>
      <w:r>
        <w:rPr>
          <w:rFonts w:ascii="Aptos" w:hAnsi="Aptos"/>
          <w:color w:val="17202A"/>
          <w:sz w:val="20"/>
        </w:rPr>
        <w:t>UX specification</w:t>
      </w:r>
    </w:p>
    <w:p>
      <w:pPr>
        <w:keepLines w:val="0"/>
        <w:widowControl/>
        <w:spacing w:after="40"/>
        <w:ind w:left="72" w:hanging="29"/>
      </w:pPr>
      <w:r>
        <w:rPr>
          <w:rFonts w:ascii="Aptos" w:hAnsi="Aptos"/>
          <w:color w:val="17202A"/>
          <w:sz w:val="20"/>
        </w:rPr>
        <w:t xml:space="preserve">14. </w:t>
      </w:r>
      <w:r>
        <w:rPr>
          <w:rFonts w:ascii="Aptos" w:hAnsi="Aptos"/>
          <w:color w:val="17202A"/>
          <w:sz w:val="20"/>
        </w:rPr>
        <w:t>Quality, security and compliance</w:t>
      </w:r>
    </w:p>
    <w:p>
      <w:pPr>
        <w:keepLines w:val="0"/>
        <w:widowControl/>
        <w:spacing w:after="40"/>
        <w:ind w:left="72" w:hanging="29"/>
      </w:pPr>
      <w:r>
        <w:rPr>
          <w:rFonts w:ascii="Aptos" w:hAnsi="Aptos"/>
          <w:color w:val="17202A"/>
          <w:sz w:val="20"/>
        </w:rPr>
        <w:t xml:space="preserve">15. </w:t>
      </w:r>
      <w:r>
        <w:rPr>
          <w:rFonts w:ascii="Aptos" w:hAnsi="Aptos"/>
          <w:color w:val="17202A"/>
          <w:sz w:val="20"/>
        </w:rPr>
        <w:t>Success metrics and evaluation</w:t>
      </w:r>
    </w:p>
    <w:p>
      <w:pPr>
        <w:keepLines w:val="0"/>
        <w:widowControl/>
        <w:spacing w:after="40"/>
        <w:ind w:left="72" w:hanging="29"/>
      </w:pPr>
      <w:r>
        <w:rPr>
          <w:rFonts w:ascii="Aptos" w:hAnsi="Aptos"/>
          <w:color w:val="17202A"/>
          <w:sz w:val="20"/>
        </w:rPr>
        <w:t xml:space="preserve">16. </w:t>
      </w:r>
      <w:r>
        <w:rPr>
          <w:rFonts w:ascii="Aptos" w:hAnsi="Aptos"/>
          <w:color w:val="17202A"/>
          <w:sz w:val="20"/>
        </w:rPr>
        <w:t>Hackathon demo narrative</w:t>
      </w:r>
    </w:p>
    <w:p>
      <w:pPr>
        <w:keepLines w:val="0"/>
        <w:widowControl/>
        <w:spacing w:after="40"/>
        <w:ind w:left="72" w:hanging="29"/>
      </w:pPr>
      <w:r>
        <w:rPr>
          <w:rFonts w:ascii="Aptos" w:hAnsi="Aptos"/>
          <w:color w:val="17202A"/>
          <w:sz w:val="20"/>
        </w:rPr>
        <w:t xml:space="preserve">17. </w:t>
      </w:r>
      <w:r>
        <w:rPr>
          <w:rFonts w:ascii="Aptos" w:hAnsi="Aptos"/>
          <w:color w:val="17202A"/>
          <w:sz w:val="20"/>
        </w:rPr>
        <w:t>Risks and mitigations</w:t>
      </w:r>
    </w:p>
    <w:p>
      <w:pPr>
        <w:keepLines w:val="0"/>
        <w:widowControl/>
        <w:spacing w:after="40"/>
        <w:ind w:left="72" w:hanging="29"/>
      </w:pPr>
      <w:r>
        <w:rPr>
          <w:rFonts w:ascii="Aptos" w:hAnsi="Aptos"/>
          <w:color w:val="17202A"/>
          <w:sz w:val="20"/>
        </w:rPr>
        <w:t xml:space="preserve">18. </w:t>
      </w:r>
      <w:r>
        <w:rPr>
          <w:rFonts w:ascii="Aptos" w:hAnsi="Aptos"/>
          <w:color w:val="17202A"/>
          <w:sz w:val="20"/>
        </w:rPr>
        <w:t>Roadmap</w:t>
      </w:r>
    </w:p>
    <w:p>
      <w:pPr>
        <w:keepLines w:val="0"/>
        <w:widowControl/>
        <w:spacing w:after="40"/>
        <w:ind w:left="72" w:hanging="29"/>
      </w:pPr>
      <w:r>
        <w:rPr>
          <w:rFonts w:ascii="Aptos" w:hAnsi="Aptos"/>
          <w:color w:val="17202A"/>
          <w:sz w:val="20"/>
        </w:rPr>
        <w:t xml:space="preserve">19. </w:t>
      </w:r>
      <w:r>
        <w:rPr>
          <w:rFonts w:ascii="Aptos" w:hAnsi="Aptos"/>
          <w:color w:val="17202A"/>
          <w:sz w:val="20"/>
        </w:rPr>
        <w:t>Acceptance criteria</w:t>
      </w:r>
    </w:p>
    <w:p>
      <w:pPr>
        <w:keepLines w:val="0"/>
        <w:widowControl/>
        <w:spacing w:after="40"/>
        <w:ind w:left="72" w:hanging="29"/>
      </w:pPr>
      <w:r>
        <w:rPr>
          <w:rFonts w:ascii="Aptos" w:hAnsi="Aptos"/>
          <w:color w:val="17202A"/>
          <w:sz w:val="20"/>
        </w:rPr>
        <w:t xml:space="preserve">20. </w:t>
      </w:r>
      <w:r>
        <w:rPr>
          <w:rFonts w:ascii="Aptos" w:hAnsi="Aptos"/>
          <w:color w:val="17202A"/>
          <w:sz w:val="20"/>
        </w:rPr>
        <w:t>Glossary and research basis</w:t>
      </w:r>
    </w:p>
    <w:p>
      <w:pPr>
        <w:keepLines w:val="0"/>
        <w:widowControl/>
      </w:pPr>
      <w:r>
        <w:br w:type="page"/>
      </w:r>
    </w:p>
    <w:p>
      <w:pPr>
        <w:pStyle w:val="Heading1"/>
        <w:keepLines w:val="0"/>
        <w:widowControl/>
      </w:pPr>
      <w:r>
        <w:t>1. Executive summary</w:t>
      </w:r>
    </w:p>
    <w:p>
      <w:pPr>
        <w:keepLines w:val="0"/>
        <w:widowControl/>
        <w:spacing w:after="120" w:line="259" w:lineRule="auto"/>
      </w:pPr>
      <w:r>
        <w:rPr>
          <w:rFonts w:ascii="Aptos" w:hAnsi="Aptos"/>
          <w:color w:val="17202A"/>
          <w:sz w:val="20"/>
        </w:rPr>
        <w:t>ProofGrid is an evidence-first AI data intelligence workspace. A user describes the business data they need in natural language; ProofGrid turns that request into a typed requirement, proposes a dataset schema, applies a user-visible Trust Contract, generates a constrained executable workflow, gathers information from permitted sources, extracts and normalizes records, resolves duplicates, preserves conflicting claims, and presents a persistent dataset in which every important field can be traced back to evidence.</w:t>
      </w:r>
    </w:p>
    <w:p>
      <w:pPr>
        <w:keepLines w:val="0"/>
        <w:widowControl/>
        <w:spacing w:after="120" w:line="259" w:lineRule="auto"/>
      </w:pPr>
      <w:r>
        <w:rPr>
          <w:rFonts w:ascii="Aptos" w:hAnsi="Aptos"/>
          <w:color w:val="17202A"/>
          <w:sz w:val="20"/>
        </w:rPr>
        <w:t>The hackathon product will not claim to solve arbitrary web research perfectly. The architecture is horizontal, but the live demo is deliberately narrow and deep: Indian AI startup funding intelligence. That vertical naturally exercises source discovery, structured extraction, normalization, cross-source verification, entity resolution, conflicts, provenance, semantic search, dataset history, and export - all core requirements of the problem statement.</w:t>
      </w:r>
    </w:p>
    <w:tbl>
      <w:tblPr>
        <w:tblW w:type="auto" w:w="0"/>
        <w:jc w:val="center"/>
        <w:tblLayout w:type="autofit"/>
        <w:tblLook w:firstColumn="1" w:firstRow="1" w:lastColumn="0" w:lastRow="0" w:noHBand="0" w:noVBand="1" w:val="04A0"/>
      </w:tblPr>
      <w:tblGrid>
        <w:gridCol w:w="10282"/>
      </w:tblGrid>
      <w:tr>
        <w:trPr>
          <w:cantSplit/>
        </w:trPr>
        <w:tc>
          <w:tcPr>
            <w:tcW w:type="dxa" w:w="10282"/>
            <w:shd w:fill="EAF2F8"/>
            <w:tcBorders>
              <w:top w:val="single" w:sz="8" w:color="265D97"/>
              <w:left w:val="single" w:sz="8" w:color="265D97"/>
              <w:bottom w:val="single" w:sz="8" w:color="265D97"/>
              <w:right w:val="single" w:sz="8" w:color="265D97"/>
            </w:tcBorders>
          </w:tcPr>
          <w:p>
            <w:pPr>
              <w:spacing w:after="40"/>
            </w:pPr>
            <w:r>
              <w:rPr>
                <w:rFonts w:ascii="Aptos" w:hAnsi="Aptos"/>
                <w:b/>
                <w:color w:val="1E3A5F"/>
                <w:sz w:val="22"/>
              </w:rPr>
              <w:t>Winning product definition</w:t>
            </w:r>
          </w:p>
          <w:p>
            <w:pPr>
              <w:spacing w:after="0"/>
            </w:pPr>
            <w:r>
              <w:rPr>
                <w:rFonts w:ascii="Aptos" w:hAnsi="Aptos"/>
                <w:color w:val="17202A"/>
                <w:sz w:val="19"/>
              </w:rPr>
              <w:t>ProofGrid is not an AI scraper and not a research chatbot. It is a natural-language data workflow compiler with a trust layer. The visible innovation is not “we used agents”; it is that users can define what counts as trustworthy data and inspect the proof behind every important cell.</w:t>
            </w:r>
          </w:p>
        </w:tc>
      </w:tr>
    </w:tbl>
    <w:p>
      <w:pPr>
        <w:keepLines w:val="0"/>
        <w:widowControl/>
        <w:spacing w:after="0"/>
      </w:pPr>
    </w:p>
    <w:p>
      <w:pPr>
        <w:keepLines w:val="0"/>
        <w:widowControl/>
        <w:jc w:val="center"/>
      </w:pPr>
      <w:r>
        <w:drawing>
          <wp:inline xmlns:a="http://schemas.openxmlformats.org/drawingml/2006/main" xmlns:pic="http://schemas.openxmlformats.org/drawingml/2006/picture">
            <wp:extent cx="6172200" cy="439634"/>
            <wp:docPr id="1" name="Picture 1"/>
            <wp:cNvGraphicFramePr>
              <a:graphicFrameLocks noChangeAspect="1"/>
            </wp:cNvGraphicFramePr>
            <a:graphic>
              <a:graphicData uri="http://schemas.openxmlformats.org/drawingml/2006/picture">
                <pic:pic>
                  <pic:nvPicPr>
                    <pic:cNvPr id="0" name="journey.png"/>
                    <pic:cNvPicPr/>
                  </pic:nvPicPr>
                  <pic:blipFill>
                    <a:blip r:embed="rId11"/>
                    <a:stretch>
                      <a:fillRect/>
                    </a:stretch>
                  </pic:blipFill>
                  <pic:spPr>
                    <a:xfrm>
                      <a:off x="0" y="0"/>
                      <a:ext cx="6172200" cy="439634"/>
                    </a:xfrm>
                    <a:prstGeom prst="rect"/>
                  </pic:spPr>
                </pic:pic>
              </a:graphicData>
            </a:graphic>
          </wp:inline>
        </w:drawing>
      </w:r>
    </w:p>
    <w:p>
      <w:pPr>
        <w:keepLines w:val="0"/>
        <w:widowControl/>
        <w:spacing w:after="140"/>
        <w:jc w:val="center"/>
      </w:pPr>
      <w:r>
        <w:rPr>
          <w:rFonts w:ascii="Aptos" w:hAnsi="Aptos"/>
          <w:i/>
          <w:color w:val="5D6D7E"/>
          <w:sz w:val="17"/>
        </w:rPr>
        <w:t>Figure 1. The complete product journey - from a natural-language request to a reusable, evidence-backed dataset.</w:t>
      </w:r>
    </w:p>
    <w:p>
      <w:pPr>
        <w:pStyle w:val="Heading2"/>
        <w:keepLines w:val="0"/>
        <w:widowControl/>
      </w:pPr>
      <w:r>
        <w:t>Primary product promise</w:t>
      </w:r>
    </w:p>
    <w:p>
      <w:pPr>
        <w:pStyle w:val="ListBullet"/>
        <w:keepLines w:val="0"/>
        <w:widowControl/>
        <w:spacing w:after="40"/>
      </w:pPr>
      <w:r>
        <w:rPr>
          <w:rFonts w:ascii="Aptos" w:hAnsi="Aptos"/>
          <w:color w:val="17202A"/>
          <w:sz w:val="20"/>
        </w:rPr>
        <w:t>Describe the dataset in normal language instead of writing scrapers, SQL, or automation workflows.</w:t>
      </w:r>
    </w:p>
    <w:p>
      <w:pPr>
        <w:pStyle w:val="ListBullet"/>
        <w:keepLines w:val="0"/>
        <w:widowControl/>
        <w:spacing w:after="40"/>
      </w:pPr>
      <w:r>
        <w:rPr>
          <w:rFonts w:ascii="Aptos" w:hAnsi="Aptos"/>
          <w:color w:val="17202A"/>
          <w:sz w:val="20"/>
        </w:rPr>
        <w:t>Confirm exactly what the AI understood before the system spends money or touches external sources.</w:t>
      </w:r>
    </w:p>
    <w:p>
      <w:pPr>
        <w:pStyle w:val="ListBullet"/>
        <w:keepLines w:val="0"/>
        <w:widowControl/>
        <w:spacing w:after="40"/>
      </w:pPr>
      <w:r>
        <w:rPr>
          <w:rFonts w:ascii="Aptos" w:hAnsi="Aptos"/>
          <w:color w:val="17202A"/>
          <w:sz w:val="20"/>
        </w:rPr>
        <w:t>Define trust requirements such as freshness, evidence count, first-party preference, conflict policy, and budget limits.</w:t>
      </w:r>
    </w:p>
    <w:p>
      <w:pPr>
        <w:pStyle w:val="ListBullet"/>
        <w:keepLines w:val="0"/>
        <w:widowControl/>
        <w:spacing w:after="40"/>
      </w:pPr>
      <w:r>
        <w:rPr>
          <w:rFonts w:ascii="Aptos" w:hAnsi="Aptos"/>
          <w:color w:val="17202A"/>
          <w:sz w:val="20"/>
        </w:rPr>
        <w:t>Receive a structured dataset rather than only prose or an AI summary.</w:t>
      </w:r>
    </w:p>
    <w:p>
      <w:pPr>
        <w:pStyle w:val="ListBullet"/>
        <w:keepLines w:val="0"/>
        <w:widowControl/>
        <w:spacing w:after="40"/>
      </w:pPr>
      <w:r>
        <w:rPr>
          <w:rFonts w:ascii="Aptos" w:hAnsi="Aptos"/>
          <w:color w:val="17202A"/>
          <w:sz w:val="20"/>
        </w:rPr>
        <w:t>Click any important field to inspect the source, evidence snippet, retrieval time, extraction method, and transformations.</w:t>
      </w:r>
    </w:p>
    <w:p>
      <w:pPr>
        <w:pStyle w:val="ListBullet"/>
        <w:keepLines w:val="0"/>
        <w:widowControl/>
        <w:spacing w:after="40"/>
      </w:pPr>
      <w:r>
        <w:rPr>
          <w:rFonts w:ascii="Aptos" w:hAnsi="Aptos"/>
          <w:color w:val="17202A"/>
          <w:sz w:val="20"/>
        </w:rPr>
        <w:t>See disagreements instead of having the system silently hide them.</w:t>
      </w:r>
    </w:p>
    <w:p>
      <w:pPr>
        <w:pStyle w:val="ListBullet"/>
        <w:keepLines w:val="0"/>
        <w:widowControl/>
        <w:spacing w:after="40"/>
      </w:pPr>
      <w:r>
        <w:rPr>
          <w:rFonts w:ascii="Aptos" w:hAnsi="Aptos"/>
          <w:color w:val="17202A"/>
          <w:sz w:val="20"/>
        </w:rPr>
        <w:t>Re-run the same workflow later and view what changed.</w:t>
      </w:r>
    </w:p>
    <w:p>
      <w:pPr>
        <w:pStyle w:val="Heading1"/>
        <w:keepLines w:val="0"/>
        <w:widowControl/>
      </w:pPr>
      <w:r>
        <w:t>2. Product decision and positioning</w:t>
      </w:r>
    </w:p>
    <w:p>
      <w:pPr>
        <w:pStyle w:val="Heading2"/>
        <w:keepLines w:val="0"/>
        <w:widowControl/>
      </w:pPr>
      <w:r>
        <w:t>2.1 Product name and narrative</w:t>
      </w:r>
    </w:p>
    <w:p>
      <w:pPr>
        <w:keepLines w:val="0"/>
        <w:widowControl/>
        <w:spacing w:after="120" w:line="259" w:lineRule="auto"/>
      </w:pPr>
      <w:r>
        <w:rPr>
          <w:rFonts w:ascii="Aptos" w:hAnsi="Aptos"/>
          <w:color w:val="17202A"/>
          <w:sz w:val="20"/>
        </w:rPr>
        <w:t>Working name: ProofGrid. The name intentionally emphasizes the product surface - a grid/table - and the differentiator - proof. The pitch sentence is: “Turn a question into a dataset you can prove.”</w:t>
      </w:r>
    </w:p>
    <w:p>
      <w:pPr>
        <w:pStyle w:val="Heading2"/>
        <w:keepLines w:val="0"/>
        <w:widowControl/>
      </w:pPr>
      <w:r>
        <w:t>2.2 Category</w:t>
      </w:r>
    </w:p>
    <w:p>
      <w:pPr>
        <w:keepLines w:val="0"/>
        <w:widowControl/>
        <w:spacing w:after="120" w:line="259" w:lineRule="auto"/>
      </w:pPr>
      <w:r>
        <w:rPr>
          <w:rFonts w:ascii="Aptos" w:hAnsi="Aptos"/>
          <w:color w:val="17202A"/>
          <w:sz w:val="20"/>
        </w:rPr>
        <w:t>ProofGrid sits between AI deep-research systems, web-data infrastructure, enrichment platforms, and workflow automation. It borrows strengths from each category but is optimized around a different unit of value: the reusable, versioned, auditable dataset.</w:t>
      </w:r>
    </w:p>
    <w:tbl>
      <w:tblPr>
        <w:tblW w:type="auto" w:w="0"/>
        <w:jc w:val="center"/>
        <w:tblLayout w:type="autofit"/>
        <w:tblLook w:firstColumn="1" w:firstRow="1" w:lastColumn="0" w:lastRow="0" w:noHBand="0" w:noVBand="1" w:val="04A0"/>
      </w:tblPr>
      <w:tblGrid>
        <w:gridCol w:w="3427"/>
        <w:gridCol w:w="3427"/>
        <w:gridCol w:w="3427"/>
      </w:tblGrid>
      <w:tr>
        <w:trPr>
          <w:tblHeader w:val="true"/>
          <w:cantSplit/>
        </w:trPr>
        <w:tc>
          <w:tcPr>
            <w:tcW w:type="dxa" w:w="2232"/>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5"/>
              </w:rPr>
              <w:t>Category</w:t>
            </w:r>
          </w:p>
        </w:tc>
        <w:tc>
          <w:tcPr>
            <w:tcW w:type="dxa" w:w="3600"/>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5"/>
              </w:rPr>
              <w:t>What it already does well</w:t>
            </w:r>
          </w:p>
        </w:tc>
        <w:tc>
          <w:tcPr>
            <w:tcW w:type="dxa" w:w="3816"/>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5"/>
              </w:rPr>
              <w:t>ProofGrid whitespace</w:t>
            </w:r>
          </w:p>
        </w:tc>
      </w:tr>
      <w:tr>
        <w:trPr>
          <w:cantSplit/>
        </w:trPr>
        <w:tc>
          <w:tcPr>
            <w:tcW w:type="dxa" w:w="223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Deep research assistants</w:t>
            </w:r>
          </w:p>
        </w:tc>
        <w:tc>
          <w:tcPr>
            <w:tcW w:type="dxa" w:w="360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Excellent at one-off answers and synthesis</w:t>
            </w:r>
          </w:p>
        </w:tc>
        <w:tc>
          <w:tcPr>
            <w:tcW w:type="dxa" w:w="381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Persistent typed datasets, reusable workflow lifecycle, field-level evidence</w:t>
            </w:r>
          </w:p>
        </w:tc>
      </w:tr>
      <w:tr>
        <w:trPr>
          <w:cantSplit/>
        </w:trPr>
        <w:tc>
          <w:tcPr>
            <w:tcW w:type="dxa" w:w="223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Scraping / crawling infrastructure</w:t>
            </w:r>
          </w:p>
        </w:tc>
        <w:tc>
          <w:tcPr>
            <w:tcW w:type="dxa" w:w="360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Excellent at collecting pages or rows</w:t>
            </w:r>
          </w:p>
        </w:tc>
        <w:tc>
          <w:tcPr>
            <w:tcW w:type="dxa" w:w="381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Natural-language requirement compilation and trust-aware canonicalization</w:t>
            </w:r>
          </w:p>
        </w:tc>
      </w:tr>
      <w:tr>
        <w:trPr>
          <w:cantSplit/>
        </w:trPr>
        <w:tc>
          <w:tcPr>
            <w:tcW w:type="dxa" w:w="223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Enrichment / GTM tools</w:t>
            </w:r>
          </w:p>
        </w:tc>
        <w:tc>
          <w:tcPr>
            <w:tcW w:type="dxa" w:w="360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Excellent at adding business data to rows</w:t>
            </w:r>
          </w:p>
        </w:tc>
        <w:tc>
          <w:tcPr>
            <w:tcW w:type="dxa" w:w="381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General research-defined schemas, explicit conflict handling, provenance-first data model</w:t>
            </w:r>
          </w:p>
        </w:tc>
      </w:tr>
      <w:tr>
        <w:trPr>
          <w:cantSplit/>
        </w:trPr>
        <w:tc>
          <w:tcPr>
            <w:tcW w:type="dxa" w:w="223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Workflow tools</w:t>
            </w:r>
          </w:p>
        </w:tc>
        <w:tc>
          <w:tcPr>
            <w:tcW w:type="dxa" w:w="360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Excellent at connecting apps and deterministic actions</w:t>
            </w:r>
          </w:p>
        </w:tc>
        <w:tc>
          <w:tcPr>
            <w:tcW w:type="dxa" w:w="381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Semantic planning, extraction, entity resolution, claim reconciliation</w:t>
            </w:r>
          </w:p>
        </w:tc>
      </w:tr>
      <w:tr>
        <w:trPr>
          <w:cantSplit/>
        </w:trPr>
        <w:tc>
          <w:tcPr>
            <w:tcW w:type="dxa" w:w="223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Current hackathon-style agent research systems</w:t>
            </w:r>
          </w:p>
        </w:tc>
        <w:tc>
          <w:tcPr>
            <w:tcW w:type="dxa" w:w="360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Visible agent reasoning and verification</w:t>
            </w:r>
          </w:p>
        </w:tc>
        <w:tc>
          <w:tcPr>
            <w:tcW w:type="dxa" w:w="381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Persistent datasets, Trust Contract, claim ledger, version diffs, explainable merge decisions</w:t>
            </w:r>
          </w:p>
        </w:tc>
      </w:tr>
    </w:tbl>
    <w:p>
      <w:pPr>
        <w:keepLines w:val="0"/>
        <w:widowControl/>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2F8"/>
            <w:tcBorders>
              <w:top w:val="single" w:sz="8" w:color="265D97"/>
              <w:left w:val="single" w:sz="8" w:color="265D97"/>
              <w:bottom w:val="single" w:sz="8" w:color="265D97"/>
              <w:right w:val="single" w:sz="8" w:color="265D97"/>
            </w:tcBorders>
          </w:tcPr>
          <w:p>
            <w:pPr>
              <w:spacing w:after="40"/>
            </w:pPr>
            <w:r>
              <w:rPr>
                <w:rFonts w:ascii="Aptos" w:hAnsi="Aptos"/>
                <w:b/>
                <w:color w:val="1E3A5F"/>
                <w:sz w:val="22"/>
              </w:rPr>
              <w:t>Strategic rule</w:t>
            </w:r>
          </w:p>
          <w:p>
            <w:pPr>
              <w:spacing w:after="0"/>
            </w:pPr>
            <w:r>
              <w:rPr>
                <w:rFonts w:ascii="Aptos" w:hAnsi="Aptos"/>
                <w:color w:val="17202A"/>
                <w:sz w:val="19"/>
              </w:rPr>
              <w:t>Do not compete on “number of agents.” A public Code Cubicle project already demonstrates planner/explorer/investigator/arbiter agents with evidence visualization. ProofGrid competes on persistent trust-aware data, reproducibility, and lifecycle management.</w:t>
            </w:r>
          </w:p>
        </w:tc>
      </w:tr>
    </w:tbl>
    <w:p>
      <w:pPr>
        <w:keepLines w:val="0"/>
        <w:widowControl/>
        <w:spacing w:after="0"/>
      </w:pPr>
    </w:p>
    <w:p>
      <w:pPr>
        <w:pStyle w:val="Heading2"/>
        <w:keepLines w:val="0"/>
        <w:widowControl/>
      </w:pPr>
      <w:r>
        <w:t>2.3 Horizontal engine, vertical proof</w:t>
      </w:r>
    </w:p>
    <w:p>
      <w:pPr>
        <w:keepLines w:val="0"/>
        <w:widowControl/>
        <w:spacing w:after="120" w:line="259" w:lineRule="auto"/>
      </w:pPr>
      <w:r>
        <w:rPr>
          <w:rFonts w:ascii="Aptos" w:hAnsi="Aptos"/>
          <w:color w:val="17202A"/>
          <w:sz w:val="20"/>
        </w:rPr>
        <w:t>The engine is designed around generic objects - RequirementSpec, DatasetSchema, PlanDAG, RawDocument, Claim, Entity, DatasetVersion - but the first production-quality workflow is startup funding intelligence. This prevents the demo from becoming fragile while preserving a believable path toward jobs, sales leads, sponsorship intelligence, tender discovery, supplier research, and market tracking.</w:t>
      </w:r>
    </w:p>
    <w:p>
      <w:pPr>
        <w:pStyle w:val="Heading1"/>
        <w:keepLines w:val="0"/>
        <w:widowControl/>
      </w:pPr>
      <w:r>
        <w:t>3. Problem definition</w:t>
      </w:r>
    </w:p>
    <w:p>
      <w:pPr>
        <w:pStyle w:val="Heading2"/>
        <w:keepLines w:val="0"/>
        <w:widowControl/>
      </w:pPr>
      <w:r>
        <w:t>3.1 User problem</w:t>
      </w:r>
    </w:p>
    <w:p>
      <w:pPr>
        <w:keepLines w:val="0"/>
        <w:widowControl/>
        <w:spacing w:after="120" w:line="259" w:lineRule="auto"/>
      </w:pPr>
      <w:r>
        <w:rPr>
          <w:rFonts w:ascii="Aptos" w:hAnsi="Aptos"/>
          <w:color w:val="17202A"/>
          <w:sz w:val="20"/>
        </w:rPr>
        <w:t>Business teams repeatedly need changing information from the public web: companies, funding, jobs, sponsorship opportunities, suppliers, competitors, tenders, product changes, or market events. The difficult part is not only finding pages. Each new request creates a mini data-engineering project: decide fields, find sources, crawl pages, extract values, normalize formats, remove duplicates, check trustworthiness, preserve sources, rerun later, and export the result.</w:t>
      </w:r>
    </w:p>
    <w:tbl>
      <w:tblPr>
        <w:tblW w:type="auto" w:w="0"/>
        <w:jc w:val="center"/>
        <w:tblLayout w:type="autofit"/>
        <w:tblLook w:firstColumn="1" w:firstRow="1" w:lastColumn="0" w:lastRow="0" w:noHBand="0" w:noVBand="1" w:val="04A0"/>
      </w:tblPr>
      <w:tblGrid>
        <w:gridCol w:w="3427"/>
        <w:gridCol w:w="3427"/>
        <w:gridCol w:w="3427"/>
      </w:tblGrid>
      <w:tr>
        <w:trPr>
          <w:tblHeader w:val="true"/>
          <w:cantSplit/>
        </w:trPr>
        <w:tc>
          <w:tcPr>
            <w:tcW w:type="dxa" w:w="2232"/>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5"/>
              </w:rPr>
              <w:t>Pain</w:t>
            </w:r>
          </w:p>
        </w:tc>
        <w:tc>
          <w:tcPr>
            <w:tcW w:type="dxa" w:w="3528"/>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5"/>
              </w:rPr>
              <w:t>Why current workflows fail</w:t>
            </w:r>
          </w:p>
        </w:tc>
        <w:tc>
          <w:tcPr>
            <w:tcW w:type="dxa" w:w="3888"/>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5"/>
              </w:rPr>
              <w:t>ProofGrid response</w:t>
            </w:r>
          </w:p>
        </w:tc>
      </w:tr>
      <w:tr>
        <w:trPr>
          <w:cantSplit/>
        </w:trPr>
        <w:tc>
          <w:tcPr>
            <w:tcW w:type="dxa" w:w="223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Every request is different</w:t>
            </w:r>
          </w:p>
        </w:tc>
        <w:tc>
          <w:tcPr>
            <w:tcW w:type="dxa" w:w="352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Static scrapers and fixed schemas break when the question changes.</w:t>
            </w:r>
          </w:p>
        </w:tc>
        <w:tc>
          <w:tcPr>
            <w:tcW w:type="dxa" w:w="388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Natural-language requirement compiler + dynamic schema</w:t>
            </w:r>
          </w:p>
        </w:tc>
      </w:tr>
      <w:tr>
        <w:trPr>
          <w:cantSplit/>
        </w:trPr>
        <w:tc>
          <w:tcPr>
            <w:tcW w:type="dxa" w:w="223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Web data is messy</w:t>
            </w:r>
          </w:p>
        </w:tc>
        <w:tc>
          <w:tcPr>
            <w:tcW w:type="dxa" w:w="352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Dates, money, names, locations and descriptions vary by source.</w:t>
            </w:r>
          </w:p>
        </w:tc>
        <w:tc>
          <w:tcPr>
            <w:tcW w:type="dxa" w:w="388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Normalization + typed validation</w:t>
            </w:r>
          </w:p>
        </w:tc>
      </w:tr>
      <w:tr>
        <w:trPr>
          <w:cantSplit/>
        </w:trPr>
        <w:tc>
          <w:tcPr>
            <w:tcW w:type="dxa" w:w="223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Sources disagree</w:t>
            </w:r>
          </w:p>
        </w:tc>
        <w:tc>
          <w:tcPr>
            <w:tcW w:type="dxa" w:w="352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A single “final” value can hide uncertainty.</w:t>
            </w:r>
          </w:p>
        </w:tc>
        <w:tc>
          <w:tcPr>
            <w:tcW w:type="dxa" w:w="388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Claim ledger + visible conflicts</w:t>
            </w:r>
          </w:p>
        </w:tc>
      </w:tr>
      <w:tr>
        <w:trPr>
          <w:cantSplit/>
        </w:trPr>
        <w:tc>
          <w:tcPr>
            <w:tcW w:type="dxa" w:w="223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Duplicates look different</w:t>
            </w:r>
          </w:p>
        </w:tc>
        <w:tc>
          <w:tcPr>
            <w:tcW w:type="dxa" w:w="352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The same company may appear with aliases or legal suffixes.</w:t>
            </w:r>
          </w:p>
        </w:tc>
        <w:tc>
          <w:tcPr>
            <w:tcW w:type="dxa" w:w="388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Explainable entity resolution</w:t>
            </w:r>
          </w:p>
        </w:tc>
      </w:tr>
      <w:tr>
        <w:trPr>
          <w:cantSplit/>
        </w:trPr>
        <w:tc>
          <w:tcPr>
            <w:tcW w:type="dxa" w:w="223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AI can hallucinate</w:t>
            </w:r>
          </w:p>
        </w:tc>
        <w:tc>
          <w:tcPr>
            <w:tcW w:type="dxa" w:w="352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Users cannot trust a value with no evidence.</w:t>
            </w:r>
          </w:p>
        </w:tc>
        <w:tc>
          <w:tcPr>
            <w:tcW w:type="dxa" w:w="388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Field-level provenance + deterministic gates</w:t>
            </w:r>
          </w:p>
        </w:tc>
      </w:tr>
      <w:tr>
        <w:trPr>
          <w:cantSplit/>
        </w:trPr>
        <w:tc>
          <w:tcPr>
            <w:tcW w:type="dxa" w:w="223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Research expires</w:t>
            </w:r>
          </w:p>
        </w:tc>
        <w:tc>
          <w:tcPr>
            <w:tcW w:type="dxa" w:w="352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A one-off answer is stale tomorrow.</w:t>
            </w:r>
          </w:p>
        </w:tc>
        <w:tc>
          <w:tcPr>
            <w:tcW w:type="dxa" w:w="388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Saved workflows + dataset versions + refresh</w:t>
            </w:r>
          </w:p>
        </w:tc>
      </w:tr>
      <w:tr>
        <w:trPr>
          <w:cantSplit/>
        </w:trPr>
        <w:tc>
          <w:tcPr>
            <w:tcW w:type="dxa" w:w="223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Automation can fan out</w:t>
            </w:r>
          </w:p>
        </w:tc>
        <w:tc>
          <w:tcPr>
            <w:tcW w:type="dxa" w:w="352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Agentic search can become slow or expensive.</w:t>
            </w:r>
          </w:p>
        </w:tc>
        <w:tc>
          <w:tcPr>
            <w:tcW w:type="dxa" w:w="388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Budgeted PlanDAG + cost/page limits</w:t>
            </w:r>
          </w:p>
        </w:tc>
      </w:tr>
      <w:tr>
        <w:trPr>
          <w:cantSplit/>
        </w:trPr>
        <w:tc>
          <w:tcPr>
            <w:tcW w:type="dxa" w:w="223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Partial failures are opaque</w:t>
            </w:r>
          </w:p>
        </w:tc>
        <w:tc>
          <w:tcPr>
            <w:tcW w:type="dxa" w:w="352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One blocked source can make a pipeline appear broken.</w:t>
            </w:r>
          </w:p>
        </w:tc>
        <w:tc>
          <w:tcPr>
            <w:tcW w:type="dxa" w:w="388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Graceful degradation + explicit failure states</w:t>
            </w:r>
          </w:p>
        </w:tc>
      </w:tr>
    </w:tbl>
    <w:p>
      <w:pPr>
        <w:keepLines w:val="0"/>
        <w:widowControl/>
        <w:spacing w:after="0"/>
      </w:pPr>
    </w:p>
    <w:p>
      <w:pPr>
        <w:pStyle w:val="Heading1"/>
        <w:keepLines w:val="0"/>
        <w:widowControl/>
      </w:pPr>
      <w:r>
        <w:t>4. Users and jobs-to-be-done</w:t>
      </w:r>
    </w:p>
    <w:tbl>
      <w:tblPr>
        <w:tblW w:type="auto" w:w="0"/>
        <w:jc w:val="center"/>
        <w:tblLayout w:type="autofit"/>
        <w:tblLook w:firstColumn="1" w:firstRow="1" w:lastColumn="0" w:lastRow="0" w:noHBand="0" w:noVBand="1" w:val="04A0"/>
      </w:tblPr>
      <w:tblGrid>
        <w:gridCol w:w="3427"/>
        <w:gridCol w:w="3427"/>
        <w:gridCol w:w="3427"/>
      </w:tblGrid>
      <w:tr>
        <w:trPr>
          <w:tblHeader w:val="true"/>
          <w:cantSplit/>
        </w:trPr>
        <w:tc>
          <w:tcPr>
            <w:tcW w:type="dxa" w:w="2232"/>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6"/>
              </w:rPr>
              <w:t>Persona</w:t>
            </w:r>
          </w:p>
        </w:tc>
        <w:tc>
          <w:tcPr>
            <w:tcW w:type="dxa" w:w="2880"/>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6"/>
              </w:rPr>
              <w:t>Context</w:t>
            </w:r>
          </w:p>
        </w:tc>
        <w:tc>
          <w:tcPr>
            <w:tcW w:type="dxa" w:w="4608"/>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6"/>
              </w:rPr>
              <w:t>Job-to-be-done</w:t>
            </w:r>
          </w:p>
        </w:tc>
      </w:tr>
      <w:tr>
        <w:trPr>
          <w:cantSplit/>
        </w:trPr>
        <w:tc>
          <w:tcPr>
            <w:tcW w:type="dxa" w:w="223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Primary: Research / strategy analyst</w:t>
            </w:r>
          </w:p>
        </w:tc>
        <w:tc>
          <w:tcPr>
            <w:tcW w:type="dxa" w:w="288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Needs a reliable list of entities and facts for a decision.</w:t>
            </w:r>
          </w:p>
        </w:tc>
        <w:tc>
          <w:tcPr>
            <w:tcW w:type="dxa" w:w="460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“When I need a new market dataset, help me define it, collect it, and show the evidence so I can use it without manually checking every row.”</w:t>
            </w:r>
          </w:p>
        </w:tc>
      </w:tr>
      <w:tr>
        <w:trPr>
          <w:cantSplit/>
        </w:trPr>
        <w:tc>
          <w:tcPr>
            <w:tcW w:type="dxa" w:w="223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Primary: Founder / BD / partnerships</w:t>
            </w:r>
          </w:p>
        </w:tc>
        <w:tc>
          <w:tcPr>
            <w:tcW w:type="dxa" w:w="288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Needs leads, sponsors, competitors, investors or opportunities.</w:t>
            </w:r>
          </w:p>
        </w:tc>
        <w:tc>
          <w:tcPr>
            <w:tcW w:type="dxa" w:w="460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“When I describe the companies/opportunities I want, give me a clean shortlist with proof and let me refresh it later.”</w:t>
            </w:r>
          </w:p>
        </w:tc>
      </w:tr>
      <w:tr>
        <w:trPr>
          <w:cantSplit/>
        </w:trPr>
        <w:tc>
          <w:tcPr>
            <w:tcW w:type="dxa" w:w="223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Secondary: Recruiting / talent ops</w:t>
            </w:r>
          </w:p>
        </w:tc>
        <w:tc>
          <w:tcPr>
            <w:tcW w:type="dxa" w:w="288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Needs repeated job or employer intelligence.</w:t>
            </w:r>
          </w:p>
        </w:tc>
        <w:tc>
          <w:tcPr>
            <w:tcW w:type="dxa" w:w="460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“When I track roles or companies, keep a structured dataset current and show where every posting came from.”</w:t>
            </w:r>
          </w:p>
        </w:tc>
      </w:tr>
      <w:tr>
        <w:trPr>
          <w:cantSplit/>
        </w:trPr>
        <w:tc>
          <w:tcPr>
            <w:tcW w:type="dxa" w:w="223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Secondary: Data / ops engineer</w:t>
            </w:r>
          </w:p>
        </w:tc>
        <w:tc>
          <w:tcPr>
            <w:tcW w:type="dxa" w:w="288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Wants reusable automation instead of one-off scripts.</w:t>
            </w:r>
          </w:p>
        </w:tc>
        <w:tc>
          <w:tcPr>
            <w:tcW w:type="dxa" w:w="460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“When business requirements change, give me a safe plan I can inspect and rerun instead of rewriting the whole pipeline.”</w:t>
            </w:r>
          </w:p>
        </w:tc>
      </w:tr>
    </w:tbl>
    <w:p>
      <w:pPr>
        <w:keepLines w:val="0"/>
        <w:widowControl/>
        <w:spacing w:after="0"/>
      </w:pPr>
    </w:p>
    <w:p>
      <w:pPr>
        <w:pStyle w:val="Heading2"/>
        <w:keepLines w:val="0"/>
        <w:widowControl/>
      </w:pPr>
      <w:r>
        <w:t>4.1 MVP demo persona</w:t>
      </w:r>
    </w:p>
    <w:p>
      <w:pPr>
        <w:keepLines w:val="0"/>
        <w:widowControl/>
        <w:spacing w:after="120" w:line="259" w:lineRule="auto"/>
      </w:pPr>
      <w:r>
        <w:rPr>
          <w:rFonts w:ascii="Aptos" w:hAnsi="Aptos"/>
          <w:color w:val="17202A"/>
          <w:sz w:val="20"/>
        </w:rPr>
        <w:t>A venture/market intelligence analyst asks: “Find Indian AI startups that raised more than $1M in the last 12 months. Include company, website, founders, headquarters, funding round, amount, investors, date, and original evidence.” The analyst needs a reusable dataset, not an essay.</w:t>
      </w:r>
    </w:p>
    <w:p>
      <w:pPr>
        <w:pStyle w:val="Heading1"/>
        <w:keepLines w:val="0"/>
        <w:widowControl/>
      </w:pPr>
      <w:r>
        <w:t>5. Product principles</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2880"/>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7"/>
              </w:rPr>
              <w:t>Principle</w:t>
            </w:r>
          </w:p>
        </w:tc>
        <w:tc>
          <w:tcPr>
            <w:tcW w:type="dxa" w:w="6768"/>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7"/>
              </w:rPr>
              <w:t>Meaning</w:t>
            </w:r>
          </w:p>
        </w:tc>
      </w:tr>
      <w:tr>
        <w:trPr>
          <w:cantSplit/>
        </w:trPr>
        <w:tc>
          <w:tcPr>
            <w:tcW w:type="dxa" w:w="288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7"/>
              </w:rPr>
              <w:t>P1 - Proof before polish</w:t>
            </w:r>
          </w:p>
        </w:tc>
        <w:tc>
          <w:tcPr>
            <w:tcW w:type="dxa" w:w="676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7"/>
              </w:rPr>
              <w:t>If a field cannot explain where it came from, it is not trustworthy enough to present as verified.</w:t>
            </w:r>
          </w:p>
        </w:tc>
      </w:tr>
      <w:tr>
        <w:trPr>
          <w:cantSplit/>
        </w:trPr>
        <w:tc>
          <w:tcPr>
            <w:tcW w:type="dxa" w:w="288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7"/>
              </w:rPr>
              <w:t>P2 - AI for ambiguity; code for certainty</w:t>
            </w:r>
          </w:p>
        </w:tc>
        <w:tc>
          <w:tcPr>
            <w:tcW w:type="dxa" w:w="676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7"/>
              </w:rPr>
              <w:t>Use LLMs for semantics, not for retries, budgets, DB integrity, exact parsing, or policy enforcement.</w:t>
            </w:r>
          </w:p>
        </w:tc>
      </w:tr>
      <w:tr>
        <w:trPr>
          <w:cantSplit/>
        </w:trPr>
        <w:tc>
          <w:tcPr>
            <w:tcW w:type="dxa" w:w="288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7"/>
              </w:rPr>
              <w:t>P3 - Ask before expensive execution</w:t>
            </w:r>
          </w:p>
        </w:tc>
        <w:tc>
          <w:tcPr>
            <w:tcW w:type="dxa" w:w="676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7"/>
              </w:rPr>
              <w:t>Show interpreted fields, trust rules and workflow plan before collection begins.</w:t>
            </w:r>
          </w:p>
        </w:tc>
      </w:tr>
      <w:tr>
        <w:trPr>
          <w:cantSplit/>
        </w:trPr>
        <w:tc>
          <w:tcPr>
            <w:tcW w:type="dxa" w:w="288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7"/>
              </w:rPr>
              <w:t>P4 - Preserve disagreement</w:t>
            </w:r>
          </w:p>
        </w:tc>
        <w:tc>
          <w:tcPr>
            <w:tcW w:type="dxa" w:w="676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7"/>
              </w:rPr>
              <w:t>Conflicting claims are data; never destroy them merely to make a clean-looking row.</w:t>
            </w:r>
          </w:p>
        </w:tc>
      </w:tr>
      <w:tr>
        <w:trPr>
          <w:cantSplit/>
        </w:trPr>
        <w:tc>
          <w:tcPr>
            <w:tcW w:type="dxa" w:w="288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7"/>
              </w:rPr>
              <w:t>P5 - Deterministic-first extraction</w:t>
            </w:r>
          </w:p>
        </w:tc>
        <w:tc>
          <w:tcPr>
            <w:tcW w:type="dxa" w:w="676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7"/>
              </w:rPr>
              <w:t>Prefer APIs/JSON-LD/CSS/XPath before LLM extraction.</w:t>
            </w:r>
          </w:p>
        </w:tc>
      </w:tr>
      <w:tr>
        <w:trPr>
          <w:cantSplit/>
        </w:trPr>
        <w:tc>
          <w:tcPr>
            <w:tcW w:type="dxa" w:w="288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7"/>
              </w:rPr>
              <w:t>P6 - Browser autonomy is escalation</w:t>
            </w:r>
          </w:p>
        </w:tc>
        <w:tc>
          <w:tcPr>
            <w:tcW w:type="dxa" w:w="676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7"/>
              </w:rPr>
              <w:t>A browser agent is a last resort, not the default control plane.</w:t>
            </w:r>
          </w:p>
        </w:tc>
      </w:tr>
      <w:tr>
        <w:trPr>
          <w:cantSplit/>
        </w:trPr>
        <w:tc>
          <w:tcPr>
            <w:tcW w:type="dxa" w:w="288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7"/>
              </w:rPr>
              <w:t>P7 - Partial success is still useful</w:t>
            </w:r>
          </w:p>
        </w:tc>
        <w:tc>
          <w:tcPr>
            <w:tcW w:type="dxa" w:w="676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7"/>
              </w:rPr>
              <w:t>Return valid records while explicitly exposing failed sources and incomplete fields.</w:t>
            </w:r>
          </w:p>
        </w:tc>
      </w:tr>
      <w:tr>
        <w:trPr>
          <w:cantSplit/>
        </w:trPr>
        <w:tc>
          <w:tcPr>
            <w:tcW w:type="dxa" w:w="288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7"/>
              </w:rPr>
              <w:t>P8 - Narrow demo, extensible core</w:t>
            </w:r>
          </w:p>
        </w:tc>
        <w:tc>
          <w:tcPr>
            <w:tcW w:type="dxa" w:w="676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7"/>
              </w:rPr>
              <w:t>Prove one vertical deeply while keeping the object model generic.</w:t>
            </w:r>
          </w:p>
        </w:tc>
      </w:tr>
    </w:tbl>
    <w:p>
      <w:pPr>
        <w:keepLines w:val="0"/>
        <w:widowControl/>
        <w:spacing w:after="0"/>
      </w:pPr>
    </w:p>
    <w:p>
      <w:pPr>
        <w:pStyle w:val="Heading1"/>
        <w:keepLines w:val="0"/>
        <w:widowControl/>
      </w:pPr>
      <w:r>
        <w:t>6. Core innovations</w:t>
      </w:r>
    </w:p>
    <w:p>
      <w:pPr>
        <w:pStyle w:val="Heading2"/>
        <w:keepLines w:val="0"/>
        <w:widowControl/>
      </w:pPr>
      <w:r>
        <w:t>6.1 Query Compiler</w:t>
      </w:r>
    </w:p>
    <w:p>
      <w:pPr>
        <w:keepLines w:val="0"/>
        <w:widowControl/>
        <w:spacing w:after="120" w:line="259" w:lineRule="auto"/>
      </w:pPr>
      <w:r>
        <w:rPr>
          <w:rFonts w:ascii="Aptos" w:hAnsi="Aptos"/>
          <w:color w:val="17202A"/>
          <w:sz w:val="20"/>
        </w:rPr>
        <w:t>Converts the user request into a typed RequirementSpec: entity type, fields, filters, geography, time window, freshness, source hints, limits and refresh policy.</w:t>
      </w:r>
    </w:p>
    <w:p>
      <w:pPr>
        <w:pStyle w:val="Heading2"/>
        <w:keepLines w:val="0"/>
        <w:widowControl/>
      </w:pPr>
      <w:r>
        <w:t>6.2 Trust Contract</w:t>
      </w:r>
    </w:p>
    <w:p>
      <w:pPr>
        <w:keepLines w:val="0"/>
        <w:widowControl/>
        <w:spacing w:after="120" w:line="259" w:lineRule="auto"/>
      </w:pPr>
      <w:r>
        <w:rPr>
          <w:rFonts w:ascii="Aptos" w:hAnsi="Aptos"/>
          <w:color w:val="17202A"/>
          <w:sz w:val="20"/>
        </w:rPr>
        <w:t>A user-visible set of quality constraints that defines what counts as acceptable data before execution. This is the strongest differentiating feature.</w:t>
      </w:r>
    </w:p>
    <w:p>
      <w:pPr>
        <w:pStyle w:val="Heading2"/>
        <w:keepLines w:val="0"/>
        <w:widowControl/>
      </w:pPr>
      <w:r>
        <w:t>6.3 ProofCell</w:t>
      </w:r>
    </w:p>
    <w:p>
      <w:pPr>
        <w:keepLines w:val="0"/>
        <w:widowControl/>
        <w:spacing w:after="120" w:line="259" w:lineRule="auto"/>
      </w:pPr>
      <w:r>
        <w:rPr>
          <w:rFonts w:ascii="Aptos" w:hAnsi="Aptos"/>
          <w:color w:val="17202A"/>
          <w:sz w:val="20"/>
        </w:rPr>
        <w:t>Every important displayed field links to one or more stored claims: source URL, evidence snippet, retrieval time, raw value, normalized value, extraction method and workflow run.</w:t>
      </w:r>
    </w:p>
    <w:p>
      <w:pPr>
        <w:pStyle w:val="Heading2"/>
        <w:keepLines w:val="0"/>
        <w:widowControl/>
      </w:pPr>
      <w:r>
        <w:t>6.4 Claim Ledger</w:t>
      </w:r>
    </w:p>
    <w:p>
      <w:pPr>
        <w:keepLines w:val="0"/>
        <w:widowControl/>
        <w:spacing w:after="120" w:line="259" w:lineRule="auto"/>
      </w:pPr>
      <w:r>
        <w:rPr>
          <w:rFonts w:ascii="Aptos" w:hAnsi="Aptos"/>
          <w:color w:val="17202A"/>
          <w:sz w:val="20"/>
        </w:rPr>
        <w:t>The system stores source claims separately from canonical values. Multiple sources can support or contradict the same field without information loss.</w:t>
      </w:r>
    </w:p>
    <w:p>
      <w:pPr>
        <w:pStyle w:val="Heading2"/>
        <w:keepLines w:val="0"/>
        <w:widowControl/>
      </w:pPr>
      <w:r>
        <w:t>6.5 Conflict-aware canonicalization</w:t>
      </w:r>
    </w:p>
    <w:p>
      <w:pPr>
        <w:keepLines w:val="0"/>
        <w:widowControl/>
        <w:spacing w:after="120" w:line="259" w:lineRule="auto"/>
      </w:pPr>
      <w:r>
        <w:rPr>
          <w:rFonts w:ascii="Aptos" w:hAnsi="Aptos"/>
          <w:color w:val="17202A"/>
          <w:sz w:val="20"/>
        </w:rPr>
        <w:t>The product can select a canonical value when policy allows, while retaining losing claims and visibly marking unresolved disagreement.</w:t>
      </w:r>
    </w:p>
    <w:p>
      <w:pPr>
        <w:pStyle w:val="Heading2"/>
        <w:keepLines w:val="0"/>
        <w:widowControl/>
      </w:pPr>
      <w:r>
        <w:t>6.6 Explainable entity resolution</w:t>
      </w:r>
    </w:p>
    <w:p>
      <w:pPr>
        <w:keepLines w:val="0"/>
        <w:widowControl/>
        <w:spacing w:after="120" w:line="259" w:lineRule="auto"/>
      </w:pPr>
      <w:r>
        <w:rPr>
          <w:rFonts w:ascii="Aptos" w:hAnsi="Aptos"/>
          <w:color w:val="17202A"/>
          <w:sz w:val="20"/>
        </w:rPr>
        <w:t>Records are merged only through a staged pipeline and the merge decision can be inspected. Ambiguous pairs go to review.</w:t>
      </w:r>
    </w:p>
    <w:p>
      <w:pPr>
        <w:pStyle w:val="Heading2"/>
        <w:keepLines w:val="0"/>
        <w:widowControl/>
      </w:pPr>
      <w:r>
        <w:t>6.7 Living Dataset</w:t>
      </w:r>
    </w:p>
    <w:p>
      <w:pPr>
        <w:keepLines w:val="0"/>
        <w:widowControl/>
        <w:spacing w:after="120" w:line="259" w:lineRule="auto"/>
      </w:pPr>
      <w:r>
        <w:rPr>
          <w:rFonts w:ascii="Aptos" w:hAnsi="Aptos"/>
          <w:color w:val="17202A"/>
          <w:sz w:val="20"/>
        </w:rPr>
        <w:t>A saved workflow can be rerun; the UI shows added, changed, missing and conflicted records between versions.</w:t>
      </w:r>
    </w:p>
    <w:p>
      <w:pPr>
        <w:pStyle w:val="Heading2"/>
        <w:keepLines w:val="0"/>
        <w:widowControl/>
      </w:pPr>
      <w:r>
        <w:t>6.8 Adaptive acquisition ladder</w:t>
      </w:r>
    </w:p>
    <w:p>
      <w:pPr>
        <w:keepLines w:val="0"/>
        <w:widowControl/>
        <w:spacing w:after="120" w:line="259" w:lineRule="auto"/>
      </w:pPr>
      <w:r>
        <w:rPr>
          <w:rFonts w:ascii="Aptos" w:hAnsi="Aptos"/>
          <w:color w:val="17202A"/>
          <w:sz w:val="20"/>
        </w:rPr>
        <w:t>The system escalates from structured/cheap sources to expensive/browser-based methods only when required.</w:t>
      </w:r>
    </w:p>
    <w:p>
      <w:pPr>
        <w:pStyle w:val="Heading2"/>
        <w:keepLines w:val="0"/>
        <w:widowControl/>
      </w:pPr>
      <w:r>
        <w:t>6.9 Evidence-aware export</w:t>
      </w:r>
    </w:p>
    <w:p>
      <w:pPr>
        <w:keepLines w:val="0"/>
        <w:widowControl/>
        <w:spacing w:after="120" w:line="259" w:lineRule="auto"/>
      </w:pPr>
      <w:r>
        <w:rPr>
          <w:rFonts w:ascii="Aptos" w:hAnsi="Aptos"/>
          <w:color w:val="17202A"/>
          <w:sz w:val="20"/>
        </w:rPr>
        <w:t>Exports include stable record IDs and an evidence companion file or evidence sheet so trust survives outside the UI.</w:t>
      </w:r>
    </w:p>
    <w:p>
      <w:pPr>
        <w:keepLines w:val="0"/>
        <w:widowControl/>
        <w:jc w:val="center"/>
      </w:pPr>
      <w:r>
        <w:drawing>
          <wp:inline xmlns:a="http://schemas.openxmlformats.org/drawingml/2006/main" xmlns:pic="http://schemas.openxmlformats.org/drawingml/2006/picture">
            <wp:extent cx="5257800" cy="724933"/>
            <wp:docPr id="2" name="Picture 2"/>
            <wp:cNvGraphicFramePr>
              <a:graphicFrameLocks noChangeAspect="1"/>
            </wp:cNvGraphicFramePr>
            <a:graphic>
              <a:graphicData uri="http://schemas.openxmlformats.org/drawingml/2006/picture">
                <pic:pic>
                  <pic:nvPicPr>
                    <pic:cNvPr id="0" name="trust_contract.png"/>
                    <pic:cNvPicPr/>
                  </pic:nvPicPr>
                  <pic:blipFill>
                    <a:blip r:embed="rId12"/>
                    <a:stretch>
                      <a:fillRect/>
                    </a:stretch>
                  </pic:blipFill>
                  <pic:spPr>
                    <a:xfrm>
                      <a:off x="0" y="0"/>
                      <a:ext cx="5257800" cy="724933"/>
                    </a:xfrm>
                    <a:prstGeom prst="rect"/>
                  </pic:spPr>
                </pic:pic>
              </a:graphicData>
            </a:graphic>
          </wp:inline>
        </w:drawing>
      </w:r>
    </w:p>
    <w:p>
      <w:pPr>
        <w:keepLines w:val="0"/>
        <w:widowControl/>
        <w:spacing w:after="140"/>
        <w:jc w:val="center"/>
      </w:pPr>
      <w:r>
        <w:rPr>
          <w:rFonts w:ascii="Aptos" w:hAnsi="Aptos"/>
          <w:i/>
          <w:color w:val="5D6D7E"/>
          <w:sz w:val="17"/>
        </w:rPr>
        <w:t>Figure 2. Trust Contract: users define what “good enough” means before the workflow executes.</w:t>
      </w:r>
    </w:p>
    <w:tbl>
      <w:tblPr>
        <w:tblW w:type="auto" w:w="0"/>
        <w:jc w:val="center"/>
        <w:tblLayout w:type="autofit"/>
        <w:tblLook w:firstColumn="1" w:firstRow="1" w:lastColumn="0" w:lastRow="0" w:noHBand="0" w:noVBand="1" w:val="04A0"/>
      </w:tblPr>
      <w:tblGrid>
        <w:gridCol w:w="10282"/>
      </w:tblGrid>
      <w:tr>
        <w:trPr>
          <w:cantSplit/>
        </w:trPr>
        <w:tc>
          <w:tcPr>
            <w:tcW w:type="dxa" w:w="10282"/>
            <w:shd w:fill="EAF2F8"/>
            <w:tcBorders>
              <w:top w:val="single" w:sz="8" w:color="265D97"/>
              <w:left w:val="single" w:sz="8" w:color="265D97"/>
              <w:bottom w:val="single" w:sz="8" w:color="265D97"/>
              <w:right w:val="single" w:sz="8" w:color="265D97"/>
            </w:tcBorders>
          </w:tcPr>
          <w:p>
            <w:pPr>
              <w:spacing w:after="40"/>
            </w:pPr>
            <w:r>
              <w:rPr>
                <w:rFonts w:ascii="Aptos" w:hAnsi="Aptos"/>
                <w:b/>
                <w:color w:val="1E3A5F"/>
                <w:sz w:val="22"/>
              </w:rPr>
              <w:t>Example Trust Contract</w:t>
            </w:r>
          </w:p>
          <w:p>
            <w:pPr>
              <w:spacing w:after="0"/>
            </w:pPr>
            <w:r>
              <w:rPr>
                <w:rFonts w:ascii="Aptos" w:hAnsi="Aptos"/>
                <w:color w:val="17202A"/>
                <w:sz w:val="19"/>
              </w:rPr>
              <w:t>Funding amount must have either (a) one first-party company/investor announcement or (b) two independent credible secondary sources. Data must be from the last 12 months. Every important field needs at least one evidence claim. Conflicts must remain visible. Maximum run budget: 120 pages, 5 browser escalations, 40 LLM extraction calls.</w:t>
            </w:r>
          </w:p>
        </w:tc>
      </w:tr>
    </w:tbl>
    <w:p>
      <w:pPr>
        <w:keepLines w:val="0"/>
        <w:widowControl/>
        <w:spacing w:after="0"/>
      </w:pPr>
    </w:p>
    <w:p>
      <w:pPr>
        <w:pStyle w:val="Heading1"/>
        <w:keepLines w:val="0"/>
        <w:widowControl/>
      </w:pPr>
      <w:r>
        <w:t>7. End-to-end user experience</w:t>
      </w:r>
    </w:p>
    <w:tbl>
      <w:tblPr>
        <w:tblW w:type="auto" w:w="0"/>
        <w:jc w:val="center"/>
        <w:tblLayout w:type="autofit"/>
        <w:tblLook w:firstColumn="1" w:firstRow="1" w:lastColumn="0" w:lastRow="0" w:noHBand="0" w:noVBand="1" w:val="04A0"/>
      </w:tblPr>
      <w:tblGrid>
        <w:gridCol w:w="3427"/>
        <w:gridCol w:w="3427"/>
        <w:gridCol w:w="3427"/>
      </w:tblGrid>
      <w:tr>
        <w:trPr>
          <w:tblHeader w:val="true"/>
          <w:cantSplit/>
        </w:trPr>
        <w:tc>
          <w:tcPr>
            <w:tcW w:type="dxa" w:w="1368"/>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5"/>
              </w:rPr>
              <w:t>Stage</w:t>
            </w:r>
          </w:p>
        </w:tc>
        <w:tc>
          <w:tcPr>
            <w:tcW w:type="dxa" w:w="3528"/>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5"/>
              </w:rPr>
              <w:t>System behavior</w:t>
            </w:r>
          </w:p>
        </w:tc>
        <w:tc>
          <w:tcPr>
            <w:tcW w:type="dxa" w:w="4608"/>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5"/>
              </w:rPr>
              <w:t>UI behavior</w:t>
            </w:r>
          </w:p>
        </w:tc>
      </w:tr>
      <w:tr>
        <w:trPr>
          <w:cantSplit/>
        </w:trPr>
        <w:tc>
          <w:tcPr>
            <w:tcW w:type="dxa" w:w="136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1. Ask</w:t>
            </w:r>
          </w:p>
        </w:tc>
        <w:tc>
          <w:tcPr>
            <w:tcW w:type="dxa" w:w="352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User types the business data request.</w:t>
            </w:r>
          </w:p>
        </w:tc>
        <w:tc>
          <w:tcPr>
            <w:tcW w:type="dxa" w:w="460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One large prompt input with examples; optional “use case” chips.</w:t>
            </w:r>
          </w:p>
        </w:tc>
      </w:tr>
      <w:tr>
        <w:trPr>
          <w:cantSplit/>
        </w:trPr>
        <w:tc>
          <w:tcPr>
            <w:tcW w:type="dxa" w:w="136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2. Interpret</w:t>
            </w:r>
          </w:p>
        </w:tc>
        <w:tc>
          <w:tcPr>
            <w:tcW w:type="dxa" w:w="352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AI generates RequirementSpec and proposed columns.</w:t>
            </w:r>
          </w:p>
        </w:tc>
        <w:tc>
          <w:tcPr>
            <w:tcW w:type="dxa" w:w="460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Editable schema; AI-inferred fields clearly labeled.</w:t>
            </w:r>
          </w:p>
        </w:tc>
      </w:tr>
      <w:tr>
        <w:trPr>
          <w:cantSplit/>
        </w:trPr>
        <w:tc>
          <w:tcPr>
            <w:tcW w:type="dxa" w:w="136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3. Trust</w:t>
            </w:r>
          </w:p>
        </w:tc>
        <w:tc>
          <w:tcPr>
            <w:tcW w:type="dxa" w:w="352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System proposes evidence/freshness/conflict/budget rules.</w:t>
            </w:r>
          </w:p>
        </w:tc>
        <w:tc>
          <w:tcPr>
            <w:tcW w:type="dxa" w:w="460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Trust Contract panel; user can accept or edit.</w:t>
            </w:r>
          </w:p>
        </w:tc>
      </w:tr>
      <w:tr>
        <w:trPr>
          <w:cantSplit/>
        </w:trPr>
        <w:tc>
          <w:tcPr>
            <w:tcW w:type="dxa" w:w="136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4. Plan</w:t>
            </w:r>
          </w:p>
        </w:tc>
        <w:tc>
          <w:tcPr>
            <w:tcW w:type="dxa" w:w="352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AI generates a constrained workflow DAG.</w:t>
            </w:r>
          </w:p>
        </w:tc>
        <w:tc>
          <w:tcPr>
            <w:tcW w:type="dxa" w:w="460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Plan preview shows steps, source types and estimated effort.</w:t>
            </w:r>
          </w:p>
        </w:tc>
      </w:tr>
      <w:tr>
        <w:trPr>
          <w:cantSplit/>
        </w:trPr>
        <w:tc>
          <w:tcPr>
            <w:tcW w:type="dxa" w:w="136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5. Run</w:t>
            </w:r>
          </w:p>
        </w:tc>
        <w:tc>
          <w:tcPr>
            <w:tcW w:type="dxa" w:w="352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Deterministic executor runs collectors and processors.</w:t>
            </w:r>
          </w:p>
        </w:tc>
        <w:tc>
          <w:tcPr>
            <w:tcW w:type="dxa" w:w="460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Live status by step; partial failures do not hide successful work.</w:t>
            </w:r>
          </w:p>
        </w:tc>
      </w:tr>
      <w:tr>
        <w:trPr>
          <w:cantSplit/>
        </w:trPr>
        <w:tc>
          <w:tcPr>
            <w:tcW w:type="dxa" w:w="136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6. Explore</w:t>
            </w:r>
          </w:p>
        </w:tc>
        <w:tc>
          <w:tcPr>
            <w:tcW w:type="dxa" w:w="352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Canonical records appear in ProofGrid.</w:t>
            </w:r>
          </w:p>
        </w:tc>
        <w:tc>
          <w:tcPr>
            <w:tcW w:type="dxa" w:w="460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Table search/filter/sort; trust status badges; source count.</w:t>
            </w:r>
          </w:p>
        </w:tc>
      </w:tr>
      <w:tr>
        <w:trPr>
          <w:cantSplit/>
        </w:trPr>
        <w:tc>
          <w:tcPr>
            <w:tcW w:type="dxa" w:w="136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7. Prove</w:t>
            </w:r>
          </w:p>
        </w:tc>
        <w:tc>
          <w:tcPr>
            <w:tcW w:type="dxa" w:w="352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User inspects a field.</w:t>
            </w:r>
          </w:p>
        </w:tc>
        <w:tc>
          <w:tcPr>
            <w:tcW w:type="dxa" w:w="460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Evidence drawer shows raw claims, source snippets, transformations and conflicts.</w:t>
            </w:r>
          </w:p>
        </w:tc>
      </w:tr>
      <w:tr>
        <w:trPr>
          <w:cantSplit/>
        </w:trPr>
        <w:tc>
          <w:tcPr>
            <w:tcW w:type="dxa" w:w="136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8. Act</w:t>
            </w:r>
          </w:p>
        </w:tc>
        <w:tc>
          <w:tcPr>
            <w:tcW w:type="dxa" w:w="352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User exports or connects results.</w:t>
            </w:r>
          </w:p>
        </w:tc>
        <w:tc>
          <w:tcPr>
            <w:tcW w:type="dxa" w:w="460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CSV/JSON + evidence export; optional n8n webhook/Google Sheet.</w:t>
            </w:r>
          </w:p>
        </w:tc>
      </w:tr>
      <w:tr>
        <w:trPr>
          <w:cantSplit/>
        </w:trPr>
        <w:tc>
          <w:tcPr>
            <w:tcW w:type="dxa" w:w="136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9. Refresh</w:t>
            </w:r>
          </w:p>
        </w:tc>
        <w:tc>
          <w:tcPr>
            <w:tcW w:type="dxa" w:w="352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User reruns later.</w:t>
            </w:r>
          </w:p>
        </w:tc>
        <w:tc>
          <w:tcPr>
            <w:tcW w:type="dxa" w:w="460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Version diff: new / changed / missing / conflict changes.</w:t>
            </w:r>
          </w:p>
        </w:tc>
      </w:tr>
    </w:tbl>
    <w:p>
      <w:pPr>
        <w:keepLines w:val="0"/>
        <w:widowControl/>
        <w:spacing w:after="0"/>
      </w:pPr>
    </w:p>
    <w:tbl>
      <w:tblPr>
        <w:tblW w:type="auto" w:w="0"/>
        <w:tblLook w:firstColumn="1" w:firstRow="1" w:lastColumn="0" w:lastRow="0" w:noHBand="0" w:noVBand="1" w:val="04A0"/>
      </w:tblPr>
      <w:tblGrid>
        <w:gridCol w:w="10282"/>
      </w:tblGrid>
      <w:tr>
        <w:trPr>
          <w:cantSplit/>
        </w:trPr>
        <w:tc>
          <w:tcPr>
            <w:tcW w:type="dxa" w:w="10282"/>
            <w:shd w:fill="F3F4F6"/>
            <w:tcBorders>
              <w:top w:val="single" w:sz="4" w:color="D5D8DC"/>
              <w:left w:val="single" w:sz="4" w:color="D5D8DC"/>
              <w:bottom w:val="single" w:sz="4" w:color="D5D8DC"/>
              <w:right w:val="single" w:sz="4" w:color="D5D8DC"/>
            </w:tcBorders>
          </w:tcPr>
          <w:p>
            <w:r>
              <w:rPr>
                <w:rFonts w:ascii="DejaVu Sans Mono" w:hAnsi="DejaVu Sans Mono"/>
                <w:color w:val="17202A"/>
                <w:sz w:val="17"/>
              </w:rPr>
              <w:t>User request:</w:t>
              <w:br/>
            </w:r>
            <w:r>
              <w:rPr>
                <w:rFonts w:ascii="DejaVu Sans Mono" w:hAnsi="DejaVu Sans Mono"/>
                <w:color w:val="17202A"/>
                <w:sz w:val="17"/>
              </w:rPr>
              <w:t>Find Indian AI startups that raised more than $1M in the last 12 months. Include company, founders, HQ, amount, investors, date and evidence.</w:t>
              <w:br/>
            </w:r>
            <w:r>
              <w:rPr>
                <w:rFonts w:ascii="DejaVu Sans Mono" w:hAnsi="DejaVu Sans Mono"/>
                <w:color w:val="17202A"/>
                <w:sz w:val="17"/>
              </w:rPr>
              <w:br/>
            </w:r>
            <w:r>
              <w:rPr>
                <w:rFonts w:ascii="DejaVu Sans Mono" w:hAnsi="DejaVu Sans Mono"/>
                <w:color w:val="17202A"/>
                <w:sz w:val="17"/>
              </w:rPr>
              <w:t>AI interpretation:</w:t>
              <w:br/>
            </w:r>
            <w:r>
              <w:rPr>
                <w:rFonts w:ascii="DejaVu Sans Mono" w:hAnsi="DejaVu Sans Mono"/>
                <w:color w:val="17202A"/>
                <w:sz w:val="17"/>
              </w:rPr>
              <w:t>entity_type = company</w:t>
              <w:br/>
            </w:r>
            <w:r>
              <w:rPr>
                <w:rFonts w:ascii="DejaVu Sans Mono" w:hAnsi="DejaVu Sans Mono"/>
                <w:color w:val="17202A"/>
                <w:sz w:val="17"/>
              </w:rPr>
              <w:t>industry = AI</w:t>
              <w:br/>
            </w:r>
            <w:r>
              <w:rPr>
                <w:rFonts w:ascii="DejaVu Sans Mono" w:hAnsi="DejaVu Sans Mono"/>
                <w:color w:val="17202A"/>
                <w:sz w:val="17"/>
              </w:rPr>
              <w:t>geography = India</w:t>
              <w:br/>
            </w:r>
            <w:r>
              <w:rPr>
                <w:rFonts w:ascii="DejaVu Sans Mono" w:hAnsi="DejaVu Sans Mono"/>
                <w:color w:val="17202A"/>
                <w:sz w:val="17"/>
              </w:rPr>
              <w:t>funding_amount_usd &gt; 1,000,000</w:t>
              <w:br/>
            </w:r>
            <w:r>
              <w:rPr>
                <w:rFonts w:ascii="DejaVu Sans Mono" w:hAnsi="DejaVu Sans Mono"/>
                <w:color w:val="17202A"/>
                <w:sz w:val="17"/>
              </w:rPr>
              <w:t>funding_date = last_12_months</w:t>
              <w:br/>
            </w:r>
            <w:r>
              <w:rPr>
                <w:rFonts w:ascii="DejaVu Sans Mono" w:hAnsi="DejaVu Sans Mono"/>
                <w:color w:val="17202A"/>
                <w:sz w:val="17"/>
              </w:rPr>
              <w:t>fields = company_name, website, founders, headquarters, funding_round, funding_amount, currency, investors, funding_date</w:t>
              <w:br/>
            </w:r>
            <w:r>
              <w:rPr>
                <w:rFonts w:ascii="DejaVu Sans Mono" w:hAnsi="DejaVu Sans Mono"/>
                <w:color w:val="17202A"/>
                <w:sz w:val="17"/>
              </w:rPr>
              <w:br/>
            </w:r>
            <w:r>
              <w:rPr>
                <w:rFonts w:ascii="DejaVu Sans Mono" w:hAnsi="DejaVu Sans Mono"/>
                <w:color w:val="17202A"/>
                <w:sz w:val="17"/>
              </w:rPr>
              <w:t>Trust Contract:</w:t>
              <w:br/>
            </w:r>
            <w:r>
              <w:rPr>
                <w:rFonts w:ascii="DejaVu Sans Mono" w:hAnsi="DejaVu Sans Mono"/>
                <w:color w:val="17202A"/>
                <w:sz w:val="17"/>
              </w:rPr>
              <w:t>require_source = true</w:t>
              <w:br/>
            </w:r>
            <w:r>
              <w:rPr>
                <w:rFonts w:ascii="DejaVu Sans Mono" w:hAnsi="DejaVu Sans Mono"/>
                <w:color w:val="17202A"/>
                <w:sz w:val="17"/>
              </w:rPr>
              <w:t>prefer_first_party = true</w:t>
              <w:br/>
            </w:r>
            <w:r>
              <w:rPr>
                <w:rFonts w:ascii="DejaVu Sans Mono" w:hAnsi="DejaVu Sans Mono"/>
                <w:color w:val="17202A"/>
                <w:sz w:val="17"/>
              </w:rPr>
              <w:t>conflicts = preserve</w:t>
              <w:br/>
            </w:r>
            <w:r>
              <w:rPr>
                <w:rFonts w:ascii="DejaVu Sans Mono" w:hAnsi="DejaVu Sans Mono"/>
                <w:color w:val="17202A"/>
                <w:sz w:val="17"/>
              </w:rPr>
              <w:t>max_pages = 120</w:t>
              <w:br/>
            </w:r>
            <w:r>
              <w:rPr>
                <w:rFonts w:ascii="DejaVu Sans Mono" w:hAnsi="DejaVu Sans Mono"/>
                <w:color w:val="17202A"/>
                <w:sz w:val="17"/>
              </w:rPr>
              <w:t>max_browser_actions = 5</w:t>
              <w:br/>
            </w:r>
          </w:p>
        </w:tc>
      </w:tr>
    </w:tbl>
    <w:p>
      <w:pPr>
        <w:keepLines w:val="0"/>
        <w:widowControl/>
        <w:spacing w:after="0"/>
      </w:pPr>
    </w:p>
    <w:p>
      <w:pPr>
        <w:pStyle w:val="Heading1"/>
        <w:keepLines w:val="0"/>
        <w:widowControl/>
      </w:pPr>
      <w:r>
        <w:t>8. Functional requirements</w:t>
      </w:r>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cantSplit/>
        </w:trPr>
        <w:tc>
          <w:tcPr>
            <w:tcW w:type="dxa" w:w="936"/>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4"/>
              </w:rPr>
              <w:t>ID</w:t>
            </w:r>
          </w:p>
        </w:tc>
        <w:tc>
          <w:tcPr>
            <w:tcW w:type="dxa" w:w="1944"/>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4"/>
              </w:rPr>
              <w:t>Capability</w:t>
            </w:r>
          </w:p>
        </w:tc>
        <w:tc>
          <w:tcPr>
            <w:tcW w:type="dxa" w:w="5976"/>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4"/>
              </w:rPr>
              <w:t>Requirement</w:t>
            </w:r>
          </w:p>
        </w:tc>
        <w:tc>
          <w:tcPr>
            <w:tcW w:type="dxa" w:w="936"/>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4"/>
              </w:rPr>
              <w:t>Priority</w:t>
            </w:r>
          </w:p>
        </w:tc>
      </w:tr>
      <w:tr>
        <w:trPr>
          <w:cantSplit/>
        </w:trPr>
        <w:tc>
          <w:tcPr>
            <w:tcW w:type="dxa" w:w="93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FR-001</w:t>
            </w:r>
          </w:p>
        </w:tc>
        <w:tc>
          <w:tcPr>
            <w:tcW w:type="dxa" w:w="194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Natural-language request</w:t>
            </w:r>
          </w:p>
        </w:tc>
        <w:tc>
          <w:tcPr>
            <w:tcW w:type="dxa" w:w="597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System accepts a free-form data requirement and stores original text.</w:t>
            </w:r>
          </w:p>
        </w:tc>
        <w:tc>
          <w:tcPr>
            <w:tcW w:type="dxa" w:w="93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Must</w:t>
            </w:r>
          </w:p>
        </w:tc>
      </w:tr>
      <w:tr>
        <w:trPr>
          <w:cantSplit/>
        </w:trPr>
        <w:tc>
          <w:tcPr>
            <w:tcW w:type="dxa" w:w="93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FR-002</w:t>
            </w:r>
          </w:p>
        </w:tc>
        <w:tc>
          <w:tcPr>
            <w:tcW w:type="dxa" w:w="194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Typed interpretation</w:t>
            </w:r>
          </w:p>
        </w:tc>
        <w:tc>
          <w:tcPr>
            <w:tcW w:type="dxa" w:w="597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LLM outputs a RequirementSpec validated by JSON Schema/Pydantic.</w:t>
            </w:r>
          </w:p>
        </w:tc>
        <w:tc>
          <w:tcPr>
            <w:tcW w:type="dxa" w:w="93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Must</w:t>
            </w:r>
          </w:p>
        </w:tc>
      </w:tr>
      <w:tr>
        <w:trPr>
          <w:cantSplit/>
        </w:trPr>
        <w:tc>
          <w:tcPr>
            <w:tcW w:type="dxa" w:w="93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FR-003</w:t>
            </w:r>
          </w:p>
        </w:tc>
        <w:tc>
          <w:tcPr>
            <w:tcW w:type="dxa" w:w="194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Schema negotiation</w:t>
            </w:r>
          </w:p>
        </w:tc>
        <w:tc>
          <w:tcPr>
            <w:tcW w:type="dxa" w:w="597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User can add, remove, rename and mark fields required before execution.</w:t>
            </w:r>
          </w:p>
        </w:tc>
        <w:tc>
          <w:tcPr>
            <w:tcW w:type="dxa" w:w="93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Must</w:t>
            </w:r>
          </w:p>
        </w:tc>
      </w:tr>
      <w:tr>
        <w:trPr>
          <w:cantSplit/>
        </w:trPr>
        <w:tc>
          <w:tcPr>
            <w:tcW w:type="dxa" w:w="93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FR-004</w:t>
            </w:r>
          </w:p>
        </w:tc>
        <w:tc>
          <w:tcPr>
            <w:tcW w:type="dxa" w:w="194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AI field provenance</w:t>
            </w:r>
          </w:p>
        </w:tc>
        <w:tc>
          <w:tcPr>
            <w:tcW w:type="dxa" w:w="597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Each field definition records user_specified vs ai_inferred.</w:t>
            </w:r>
          </w:p>
        </w:tc>
        <w:tc>
          <w:tcPr>
            <w:tcW w:type="dxa" w:w="93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Should</w:t>
            </w:r>
          </w:p>
        </w:tc>
      </w:tr>
      <w:tr>
        <w:trPr>
          <w:cantSplit/>
        </w:trPr>
        <w:tc>
          <w:tcPr>
            <w:tcW w:type="dxa" w:w="93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FR-005</w:t>
            </w:r>
          </w:p>
        </w:tc>
        <w:tc>
          <w:tcPr>
            <w:tcW w:type="dxa" w:w="194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Trust Contract</w:t>
            </w:r>
          </w:p>
        </w:tc>
        <w:tc>
          <w:tcPr>
            <w:tcW w:type="dxa" w:w="597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User can review/edit source, freshness, corroboration, conflict and budget rules.</w:t>
            </w:r>
          </w:p>
        </w:tc>
        <w:tc>
          <w:tcPr>
            <w:tcW w:type="dxa" w:w="93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Must</w:t>
            </w:r>
          </w:p>
        </w:tc>
      </w:tr>
      <w:tr>
        <w:trPr>
          <w:cantSplit/>
        </w:trPr>
        <w:tc>
          <w:tcPr>
            <w:tcW w:type="dxa" w:w="93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FR-006</w:t>
            </w:r>
          </w:p>
        </w:tc>
        <w:tc>
          <w:tcPr>
            <w:tcW w:type="dxa" w:w="194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Plan generation</w:t>
            </w:r>
          </w:p>
        </w:tc>
        <w:tc>
          <w:tcPr>
            <w:tcW w:type="dxa" w:w="597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Planner produces a DAG using only registered operators.</w:t>
            </w:r>
          </w:p>
        </w:tc>
        <w:tc>
          <w:tcPr>
            <w:tcW w:type="dxa" w:w="93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Must</w:t>
            </w:r>
          </w:p>
        </w:tc>
      </w:tr>
      <w:tr>
        <w:trPr>
          <w:cantSplit/>
        </w:trPr>
        <w:tc>
          <w:tcPr>
            <w:tcW w:type="dxa" w:w="93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FR-007</w:t>
            </w:r>
          </w:p>
        </w:tc>
        <w:tc>
          <w:tcPr>
            <w:tcW w:type="dxa" w:w="194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Plan validation</w:t>
            </w:r>
          </w:p>
        </w:tc>
        <w:tc>
          <w:tcPr>
            <w:tcW w:type="dxa" w:w="597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System rejects cycles, unsupported operators, unsafe domains and over-budget plans.</w:t>
            </w:r>
          </w:p>
        </w:tc>
        <w:tc>
          <w:tcPr>
            <w:tcW w:type="dxa" w:w="93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Must</w:t>
            </w:r>
          </w:p>
        </w:tc>
      </w:tr>
      <w:tr>
        <w:trPr>
          <w:cantSplit/>
        </w:trPr>
        <w:tc>
          <w:tcPr>
            <w:tcW w:type="dxa" w:w="93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FR-008</w:t>
            </w:r>
          </w:p>
        </w:tc>
        <w:tc>
          <w:tcPr>
            <w:tcW w:type="dxa" w:w="194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Source discovery</w:t>
            </w:r>
          </w:p>
        </w:tc>
        <w:tc>
          <w:tcPr>
            <w:tcW w:type="dxa" w:w="597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System discovers candidate public/permitted sources through search/API hints.</w:t>
            </w:r>
          </w:p>
        </w:tc>
        <w:tc>
          <w:tcPr>
            <w:tcW w:type="dxa" w:w="93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Must</w:t>
            </w:r>
          </w:p>
        </w:tc>
      </w:tr>
      <w:tr>
        <w:trPr>
          <w:cantSplit/>
        </w:trPr>
        <w:tc>
          <w:tcPr>
            <w:tcW w:type="dxa" w:w="93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FR-009</w:t>
            </w:r>
          </w:p>
        </w:tc>
        <w:tc>
          <w:tcPr>
            <w:tcW w:type="dxa" w:w="194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Adaptive tool routing</w:t>
            </w:r>
          </w:p>
        </w:tc>
        <w:tc>
          <w:tcPr>
            <w:tcW w:type="dxa" w:w="597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Prefer API/structured data, then HTTP/crawler, then browser fallback.</w:t>
            </w:r>
          </w:p>
        </w:tc>
        <w:tc>
          <w:tcPr>
            <w:tcW w:type="dxa" w:w="93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Must</w:t>
            </w:r>
          </w:p>
        </w:tc>
      </w:tr>
      <w:tr>
        <w:trPr>
          <w:cantSplit/>
        </w:trPr>
        <w:tc>
          <w:tcPr>
            <w:tcW w:type="dxa" w:w="93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FR-010</w:t>
            </w:r>
          </w:p>
        </w:tc>
        <w:tc>
          <w:tcPr>
            <w:tcW w:type="dxa" w:w="194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Raw evidence capture</w:t>
            </w:r>
          </w:p>
        </w:tc>
        <w:tc>
          <w:tcPr>
            <w:tcW w:type="dxa" w:w="597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Store URL, retrieved_at, content hash and relevant raw content/snapshot metadata.</w:t>
            </w:r>
          </w:p>
        </w:tc>
        <w:tc>
          <w:tcPr>
            <w:tcW w:type="dxa" w:w="93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Must</w:t>
            </w:r>
          </w:p>
        </w:tc>
      </w:tr>
      <w:tr>
        <w:trPr>
          <w:cantSplit/>
        </w:trPr>
        <w:tc>
          <w:tcPr>
            <w:tcW w:type="dxa" w:w="93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FR-011</w:t>
            </w:r>
          </w:p>
        </w:tc>
        <w:tc>
          <w:tcPr>
            <w:tcW w:type="dxa" w:w="194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Structured extraction</w:t>
            </w:r>
          </w:p>
        </w:tc>
        <w:tc>
          <w:tcPr>
            <w:tcW w:type="dxa" w:w="597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Extract requested fields with deterministic-first, LLM fallback strategy.</w:t>
            </w:r>
          </w:p>
        </w:tc>
        <w:tc>
          <w:tcPr>
            <w:tcW w:type="dxa" w:w="93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Must</w:t>
            </w:r>
          </w:p>
        </w:tc>
      </w:tr>
      <w:tr>
        <w:trPr>
          <w:cantSplit/>
        </w:trPr>
        <w:tc>
          <w:tcPr>
            <w:tcW w:type="dxa" w:w="93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FR-012</w:t>
            </w:r>
          </w:p>
        </w:tc>
        <w:tc>
          <w:tcPr>
            <w:tcW w:type="dxa" w:w="194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Typed validation</w:t>
            </w:r>
          </w:p>
        </w:tc>
        <w:tc>
          <w:tcPr>
            <w:tcW w:type="dxa" w:w="597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Reject/flag values that fail schema, format or domain rules.</w:t>
            </w:r>
          </w:p>
        </w:tc>
        <w:tc>
          <w:tcPr>
            <w:tcW w:type="dxa" w:w="93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Must</w:t>
            </w:r>
          </w:p>
        </w:tc>
      </w:tr>
      <w:tr>
        <w:trPr>
          <w:cantSplit/>
        </w:trPr>
        <w:tc>
          <w:tcPr>
            <w:tcW w:type="dxa" w:w="93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FR-013</w:t>
            </w:r>
          </w:p>
        </w:tc>
        <w:tc>
          <w:tcPr>
            <w:tcW w:type="dxa" w:w="194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Normalization</w:t>
            </w:r>
          </w:p>
        </w:tc>
        <w:tc>
          <w:tcPr>
            <w:tcW w:type="dxa" w:w="597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Normalize money, dates, locations, URLs and names while retaining raw values.</w:t>
            </w:r>
          </w:p>
        </w:tc>
        <w:tc>
          <w:tcPr>
            <w:tcW w:type="dxa" w:w="93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Must</w:t>
            </w:r>
          </w:p>
        </w:tc>
      </w:tr>
      <w:tr>
        <w:trPr>
          <w:cantSplit/>
        </w:trPr>
        <w:tc>
          <w:tcPr>
            <w:tcW w:type="dxa" w:w="93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FR-014</w:t>
            </w:r>
          </w:p>
        </w:tc>
        <w:tc>
          <w:tcPr>
            <w:tcW w:type="dxa" w:w="194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Entity resolution</w:t>
            </w:r>
          </w:p>
        </w:tc>
        <w:tc>
          <w:tcPr>
            <w:tcW w:type="dxa" w:w="597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Detect likely duplicate entities and merge only above a high-confidence decision threshold.</w:t>
            </w:r>
          </w:p>
        </w:tc>
        <w:tc>
          <w:tcPr>
            <w:tcW w:type="dxa" w:w="93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Must</w:t>
            </w:r>
          </w:p>
        </w:tc>
      </w:tr>
      <w:tr>
        <w:trPr>
          <w:cantSplit/>
        </w:trPr>
        <w:tc>
          <w:tcPr>
            <w:tcW w:type="dxa" w:w="93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FR-015</w:t>
            </w:r>
          </w:p>
        </w:tc>
        <w:tc>
          <w:tcPr>
            <w:tcW w:type="dxa" w:w="194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Claim ledger</w:t>
            </w:r>
          </w:p>
        </w:tc>
        <w:tc>
          <w:tcPr>
            <w:tcW w:type="dxa" w:w="597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Store every field claim separately from canonical record values.</w:t>
            </w:r>
          </w:p>
        </w:tc>
        <w:tc>
          <w:tcPr>
            <w:tcW w:type="dxa" w:w="93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Must</w:t>
            </w:r>
          </w:p>
        </w:tc>
      </w:tr>
      <w:tr>
        <w:trPr>
          <w:cantSplit/>
        </w:trPr>
        <w:tc>
          <w:tcPr>
            <w:tcW w:type="dxa" w:w="93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FR-016</w:t>
            </w:r>
          </w:p>
        </w:tc>
        <w:tc>
          <w:tcPr>
            <w:tcW w:type="dxa" w:w="194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Conflict detection</w:t>
            </w:r>
          </w:p>
        </w:tc>
        <w:tc>
          <w:tcPr>
            <w:tcW w:type="dxa" w:w="597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Detect materially different claims for the same field and preserve them.</w:t>
            </w:r>
          </w:p>
        </w:tc>
        <w:tc>
          <w:tcPr>
            <w:tcW w:type="dxa" w:w="93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Must</w:t>
            </w:r>
          </w:p>
        </w:tc>
      </w:tr>
      <w:tr>
        <w:trPr>
          <w:cantSplit/>
        </w:trPr>
        <w:tc>
          <w:tcPr>
            <w:tcW w:type="dxa" w:w="93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FR-017</w:t>
            </w:r>
          </w:p>
        </w:tc>
        <w:tc>
          <w:tcPr>
            <w:tcW w:type="dxa" w:w="194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Trust status</w:t>
            </w:r>
          </w:p>
        </w:tc>
        <w:tc>
          <w:tcPr>
            <w:tcW w:type="dxa" w:w="597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Show categorical status based on observable evidence, not opaque LLM self-confidence.</w:t>
            </w:r>
          </w:p>
        </w:tc>
        <w:tc>
          <w:tcPr>
            <w:tcW w:type="dxa" w:w="93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Must</w:t>
            </w:r>
          </w:p>
        </w:tc>
      </w:tr>
      <w:tr>
        <w:trPr>
          <w:cantSplit/>
        </w:trPr>
        <w:tc>
          <w:tcPr>
            <w:tcW w:type="dxa" w:w="93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FR-018</w:t>
            </w:r>
          </w:p>
        </w:tc>
        <w:tc>
          <w:tcPr>
            <w:tcW w:type="dxa" w:w="194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ProofCell evidence drawer</w:t>
            </w:r>
          </w:p>
        </w:tc>
        <w:tc>
          <w:tcPr>
            <w:tcW w:type="dxa" w:w="597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Click a cell/field to view claims, snippets, source, time, method and normalization.</w:t>
            </w:r>
          </w:p>
        </w:tc>
        <w:tc>
          <w:tcPr>
            <w:tcW w:type="dxa" w:w="93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Must</w:t>
            </w:r>
          </w:p>
        </w:tc>
      </w:tr>
      <w:tr>
        <w:trPr>
          <w:cantSplit/>
        </w:trPr>
        <w:tc>
          <w:tcPr>
            <w:tcW w:type="dxa" w:w="93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FR-019</w:t>
            </w:r>
          </w:p>
        </w:tc>
        <w:tc>
          <w:tcPr>
            <w:tcW w:type="dxa" w:w="194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Dataset exploration</w:t>
            </w:r>
          </w:p>
        </w:tc>
        <w:tc>
          <w:tcPr>
            <w:tcW w:type="dxa" w:w="597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Search, filter, sort and inspect results.</w:t>
            </w:r>
          </w:p>
        </w:tc>
        <w:tc>
          <w:tcPr>
            <w:tcW w:type="dxa" w:w="93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Must</w:t>
            </w:r>
          </w:p>
        </w:tc>
      </w:tr>
      <w:tr>
        <w:trPr>
          <w:cantSplit/>
        </w:trPr>
        <w:tc>
          <w:tcPr>
            <w:tcW w:type="dxa" w:w="93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FR-020</w:t>
            </w:r>
          </w:p>
        </w:tc>
        <w:tc>
          <w:tcPr>
            <w:tcW w:type="dxa" w:w="194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Semantic search</w:t>
            </w:r>
          </w:p>
        </w:tc>
        <w:tc>
          <w:tcPr>
            <w:tcW w:type="dxa" w:w="597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Natural-language search across entity descriptions/metadata.</w:t>
            </w:r>
          </w:p>
        </w:tc>
        <w:tc>
          <w:tcPr>
            <w:tcW w:type="dxa" w:w="93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Should</w:t>
            </w:r>
          </w:p>
        </w:tc>
      </w:tr>
      <w:tr>
        <w:trPr>
          <w:cantSplit/>
        </w:trPr>
        <w:tc>
          <w:tcPr>
            <w:tcW w:type="dxa" w:w="93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FR-021</w:t>
            </w:r>
          </w:p>
        </w:tc>
        <w:tc>
          <w:tcPr>
            <w:tcW w:type="dxa" w:w="194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Export</w:t>
            </w:r>
          </w:p>
        </w:tc>
        <w:tc>
          <w:tcPr>
            <w:tcW w:type="dxa" w:w="597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Export CSV/JSON plus evidence companion; XLSX evidence sheet optional.</w:t>
            </w:r>
          </w:p>
        </w:tc>
        <w:tc>
          <w:tcPr>
            <w:tcW w:type="dxa" w:w="93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Must</w:t>
            </w:r>
          </w:p>
        </w:tc>
      </w:tr>
      <w:tr>
        <w:trPr>
          <w:cantSplit/>
        </w:trPr>
        <w:tc>
          <w:tcPr>
            <w:tcW w:type="dxa" w:w="93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FR-022</w:t>
            </w:r>
          </w:p>
        </w:tc>
        <w:tc>
          <w:tcPr>
            <w:tcW w:type="dxa" w:w="194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Workflow history</w:t>
            </w:r>
          </w:p>
        </w:tc>
        <w:tc>
          <w:tcPr>
            <w:tcW w:type="dxa" w:w="597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Persist workflow definition and previous runs.</w:t>
            </w:r>
          </w:p>
        </w:tc>
        <w:tc>
          <w:tcPr>
            <w:tcW w:type="dxa" w:w="93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Must</w:t>
            </w:r>
          </w:p>
        </w:tc>
      </w:tr>
      <w:tr>
        <w:trPr>
          <w:cantSplit/>
        </w:trPr>
        <w:tc>
          <w:tcPr>
            <w:tcW w:type="dxa" w:w="93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FR-023</w:t>
            </w:r>
          </w:p>
        </w:tc>
        <w:tc>
          <w:tcPr>
            <w:tcW w:type="dxa" w:w="194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Dataset version diff</w:t>
            </w:r>
          </w:p>
        </w:tc>
        <w:tc>
          <w:tcPr>
            <w:tcW w:type="dxa" w:w="597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Compare two runs and show added/changed/missing records.</w:t>
            </w:r>
          </w:p>
        </w:tc>
        <w:tc>
          <w:tcPr>
            <w:tcW w:type="dxa" w:w="93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Should</w:t>
            </w:r>
          </w:p>
        </w:tc>
      </w:tr>
      <w:tr>
        <w:trPr>
          <w:cantSplit/>
        </w:trPr>
        <w:tc>
          <w:tcPr>
            <w:tcW w:type="dxa" w:w="93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FR-024</w:t>
            </w:r>
          </w:p>
        </w:tc>
        <w:tc>
          <w:tcPr>
            <w:tcW w:type="dxa" w:w="194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Run monitoring</w:t>
            </w:r>
          </w:p>
        </w:tc>
        <w:tc>
          <w:tcPr>
            <w:tcW w:type="dxa" w:w="597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Show queued/running/step status/completed/partial/failed.</w:t>
            </w:r>
          </w:p>
        </w:tc>
        <w:tc>
          <w:tcPr>
            <w:tcW w:type="dxa" w:w="93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Must</w:t>
            </w:r>
          </w:p>
        </w:tc>
      </w:tr>
      <w:tr>
        <w:trPr>
          <w:cantSplit/>
        </w:trPr>
        <w:tc>
          <w:tcPr>
            <w:tcW w:type="dxa" w:w="93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FR-025</w:t>
            </w:r>
          </w:p>
        </w:tc>
        <w:tc>
          <w:tcPr>
            <w:tcW w:type="dxa" w:w="194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Graceful partial result</w:t>
            </w:r>
          </w:p>
        </w:tc>
        <w:tc>
          <w:tcPr>
            <w:tcW w:type="dxa" w:w="597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Successful records remain accessible even if some sources fail.</w:t>
            </w:r>
          </w:p>
        </w:tc>
        <w:tc>
          <w:tcPr>
            <w:tcW w:type="dxa" w:w="93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Must</w:t>
            </w:r>
          </w:p>
        </w:tc>
      </w:tr>
      <w:tr>
        <w:trPr>
          <w:cantSplit/>
        </w:trPr>
        <w:tc>
          <w:tcPr>
            <w:tcW w:type="dxa" w:w="93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FR-026</w:t>
            </w:r>
          </w:p>
        </w:tc>
        <w:tc>
          <w:tcPr>
            <w:tcW w:type="dxa" w:w="194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Downstream trigger</w:t>
            </w:r>
          </w:p>
        </w:tc>
        <w:tc>
          <w:tcPr>
            <w:tcW w:type="dxa" w:w="597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Optionally emit webhook / n8n workflow on completion or material change.</w:t>
            </w:r>
          </w:p>
        </w:tc>
        <w:tc>
          <w:tcPr>
            <w:tcW w:type="dxa" w:w="93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Could</w:t>
            </w:r>
          </w:p>
        </w:tc>
      </w:tr>
      <w:tr>
        <w:trPr>
          <w:cantSplit/>
        </w:trPr>
        <w:tc>
          <w:tcPr>
            <w:tcW w:type="dxa" w:w="93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FR-027</w:t>
            </w:r>
          </w:p>
        </w:tc>
        <w:tc>
          <w:tcPr>
            <w:tcW w:type="dxa" w:w="194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Live refresh</w:t>
            </w:r>
          </w:p>
        </w:tc>
        <w:tc>
          <w:tcPr>
            <w:tcW w:type="dxa" w:w="597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Optional Pathway-backed incremental refresh for one demo source.</w:t>
            </w:r>
          </w:p>
        </w:tc>
        <w:tc>
          <w:tcPr>
            <w:tcW w:type="dxa" w:w="93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Could</w:t>
            </w:r>
          </w:p>
        </w:tc>
      </w:tr>
      <w:tr>
        <w:trPr>
          <w:cantSplit/>
        </w:trPr>
        <w:tc>
          <w:tcPr>
            <w:tcW w:type="dxa" w:w="93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FR-028</w:t>
            </w:r>
          </w:p>
        </w:tc>
        <w:tc>
          <w:tcPr>
            <w:tcW w:type="dxa" w:w="194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Visual evidence snapshot</w:t>
            </w:r>
          </w:p>
        </w:tc>
        <w:tc>
          <w:tcPr>
            <w:tcW w:type="dxa" w:w="597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Optional source screenshot/snippet image for selected proof claims.</w:t>
            </w:r>
          </w:p>
        </w:tc>
        <w:tc>
          <w:tcPr>
            <w:tcW w:type="dxa" w:w="93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4"/>
              </w:rPr>
              <w:t>Could</w:t>
            </w:r>
          </w:p>
        </w:tc>
      </w:tr>
    </w:tbl>
    <w:p>
      <w:pPr>
        <w:keepLines w:val="0"/>
        <w:widowControl/>
        <w:spacing w:after="0"/>
      </w:pPr>
    </w:p>
    <w:p>
      <w:pPr>
        <w:pStyle w:val="Heading1"/>
        <w:keepLines w:val="0"/>
        <w:widowControl/>
      </w:pPr>
      <w:r>
        <w:t>9. Trust model and algorithms</w:t>
      </w:r>
    </w:p>
    <w:p>
      <w:pPr>
        <w:pStyle w:val="Heading2"/>
        <w:keepLines w:val="0"/>
        <w:widowControl/>
      </w:pPr>
      <w:r>
        <w:t>9.1 Claim-first data model</w:t>
      </w:r>
    </w:p>
    <w:p>
      <w:pPr>
        <w:keepLines w:val="0"/>
        <w:widowControl/>
        <w:spacing w:after="120" w:line="259" w:lineRule="auto"/>
      </w:pPr>
      <w:r>
        <w:rPr>
          <w:rFonts w:ascii="Aptos" w:hAnsi="Aptos"/>
          <w:color w:val="17202A"/>
          <w:sz w:val="20"/>
        </w:rPr>
        <w:t>The system never treats an extracted value as truth merely because an LLM returned it. A source produces a Claim. Claims attach to an Entity and field. Canonicalization selects a display value according to explicit policy, but the underlying claims remain immutable evidence.</w:t>
      </w:r>
    </w:p>
    <w:p>
      <w:pPr>
        <w:keepLines w:val="0"/>
        <w:widowControl/>
        <w:jc w:val="center"/>
      </w:pPr>
      <w:r>
        <w:drawing>
          <wp:inline xmlns:a="http://schemas.openxmlformats.org/drawingml/2006/main" xmlns:pic="http://schemas.openxmlformats.org/drawingml/2006/picture">
            <wp:extent cx="5852160" cy="1558572"/>
            <wp:docPr id="3" name="Picture 3"/>
            <wp:cNvGraphicFramePr>
              <a:graphicFrameLocks noChangeAspect="1"/>
            </wp:cNvGraphicFramePr>
            <a:graphic>
              <a:graphicData uri="http://schemas.openxmlformats.org/drawingml/2006/picture">
                <pic:pic>
                  <pic:nvPicPr>
                    <pic:cNvPr id="0" name="claim_model.png"/>
                    <pic:cNvPicPr/>
                  </pic:nvPicPr>
                  <pic:blipFill>
                    <a:blip r:embed="rId13"/>
                    <a:stretch>
                      <a:fillRect/>
                    </a:stretch>
                  </pic:blipFill>
                  <pic:spPr>
                    <a:xfrm>
                      <a:off x="0" y="0"/>
                      <a:ext cx="5852160" cy="1558572"/>
                    </a:xfrm>
                    <a:prstGeom prst="rect"/>
                  </pic:spPr>
                </pic:pic>
              </a:graphicData>
            </a:graphic>
          </wp:inline>
        </w:drawing>
      </w:r>
    </w:p>
    <w:p>
      <w:pPr>
        <w:keepLines w:val="0"/>
        <w:widowControl/>
        <w:spacing w:after="140"/>
        <w:jc w:val="center"/>
      </w:pPr>
      <w:r>
        <w:rPr>
          <w:rFonts w:ascii="Aptos" w:hAnsi="Aptos"/>
          <w:i/>
          <w:color w:val="5D6D7E"/>
          <w:sz w:val="17"/>
        </w:rPr>
        <w:t>Figure 3. Claim-first model: canonical values are derived from evidence, not substituted for it.</w:t>
      </w:r>
    </w:p>
    <w:tbl>
      <w:tblPr>
        <w:tblW w:type="auto" w:w="0"/>
        <w:tblLook w:firstColumn="1" w:firstRow="1" w:lastColumn="0" w:lastRow="0" w:noHBand="0" w:noVBand="1" w:val="04A0"/>
      </w:tblPr>
      <w:tblGrid>
        <w:gridCol w:w="10282"/>
      </w:tblGrid>
      <w:tr>
        <w:trPr>
          <w:cantSplit/>
        </w:trPr>
        <w:tc>
          <w:tcPr>
            <w:tcW w:type="dxa" w:w="10282"/>
            <w:shd w:fill="F3F4F6"/>
            <w:tcBorders>
              <w:top w:val="single" w:sz="4" w:color="D5D8DC"/>
              <w:left w:val="single" w:sz="4" w:color="D5D8DC"/>
              <w:bottom w:val="single" w:sz="4" w:color="D5D8DC"/>
              <w:right w:val="single" w:sz="4" w:color="D5D8DC"/>
            </w:tcBorders>
          </w:tcPr>
          <w:p>
            <w:r>
              <w:rPr>
                <w:rFonts w:ascii="DejaVu Sans Mono" w:hAnsi="DejaVu Sans Mono"/>
                <w:color w:val="17202A"/>
                <w:sz w:val="17"/>
              </w:rPr>
              <w:t>Claim {</w:t>
              <w:br/>
            </w:r>
            <w:r>
              <w:rPr>
                <w:rFonts w:ascii="DejaVu Sans Mono" w:hAnsi="DejaVu Sans Mono"/>
                <w:color w:val="17202A"/>
                <w:sz w:val="17"/>
              </w:rPr>
              <w:t xml:space="preserve">  entity_id, field_name, raw_value, normalized_value,</w:t>
              <w:br/>
            </w:r>
            <w:r>
              <w:rPr>
                <w:rFonts w:ascii="DejaVu Sans Mono" w:hAnsi="DejaVu Sans Mono"/>
                <w:color w:val="17202A"/>
                <w:sz w:val="17"/>
              </w:rPr>
              <w:t xml:space="preserve">  source_url, source_type, retrieved_at, evidence_text,</w:t>
              <w:br/>
            </w:r>
            <w:r>
              <w:rPr>
                <w:rFonts w:ascii="DejaVu Sans Mono" w:hAnsi="DejaVu Sans Mono"/>
                <w:color w:val="17202A"/>
                <w:sz w:val="17"/>
              </w:rPr>
              <w:t xml:space="preserve">  raw_document_id, content_hash, extraction_method,</w:t>
              <w:br/>
            </w:r>
            <w:r>
              <w:rPr>
                <w:rFonts w:ascii="DejaVu Sans Mono" w:hAnsi="DejaVu Sans Mono"/>
                <w:color w:val="17202A"/>
                <w:sz w:val="17"/>
              </w:rPr>
              <w:t xml:space="preserve">  workflow_run_id, validation_flags</w:t>
              <w:br/>
            </w:r>
            <w:r>
              <w:rPr>
                <w:rFonts w:ascii="DejaVu Sans Mono" w:hAnsi="DejaVu Sans Mono"/>
                <w:color w:val="17202A"/>
                <w:sz w:val="17"/>
              </w:rPr>
              <w:t>}</w:t>
              <w:br/>
            </w:r>
            <w:r>
              <w:rPr>
                <w:rFonts w:ascii="DejaVu Sans Mono" w:hAnsi="DejaVu Sans Mono"/>
                <w:color w:val="17202A"/>
                <w:sz w:val="17"/>
              </w:rPr>
              <w:br/>
            </w:r>
            <w:r>
              <w:rPr>
                <w:rFonts w:ascii="DejaVu Sans Mono" w:hAnsi="DejaVu Sans Mono"/>
                <w:color w:val="17202A"/>
                <w:sz w:val="17"/>
              </w:rPr>
              <w:t>CanonicalField {</w:t>
              <w:br/>
            </w:r>
            <w:r>
              <w:rPr>
                <w:rFonts w:ascii="DejaVu Sans Mono" w:hAnsi="DejaVu Sans Mono"/>
                <w:color w:val="17202A"/>
                <w:sz w:val="17"/>
              </w:rPr>
              <w:t xml:space="preserve">  entity_id, field_name, selected_claim_id, trust_status,</w:t>
              <w:br/>
            </w:r>
            <w:r>
              <w:rPr>
                <w:rFonts w:ascii="DejaVu Sans Mono" w:hAnsi="DejaVu Sans Mono"/>
                <w:color w:val="17202A"/>
                <w:sz w:val="17"/>
              </w:rPr>
              <w:t xml:space="preserve">  conflict_state, supporting_claim_ids[]</w:t>
              <w:br/>
            </w:r>
            <w:r>
              <w:rPr>
                <w:rFonts w:ascii="DejaVu Sans Mono" w:hAnsi="DejaVu Sans Mono"/>
                <w:color w:val="17202A"/>
                <w:sz w:val="17"/>
              </w:rPr>
              <w:t>}</w:t>
              <w:br/>
            </w:r>
          </w:p>
        </w:tc>
      </w:tr>
    </w:tbl>
    <w:p>
      <w:pPr>
        <w:keepLines w:val="0"/>
        <w:widowControl/>
        <w:spacing w:after="0"/>
      </w:pPr>
    </w:p>
    <w:p>
      <w:pPr>
        <w:pStyle w:val="Heading2"/>
        <w:keepLines w:val="0"/>
        <w:widowControl/>
      </w:pPr>
      <w:r>
        <w:t>9.2 Trust status - no fake precision</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1944"/>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6"/>
              </w:rPr>
              <w:t>Status</w:t>
            </w:r>
          </w:p>
        </w:tc>
        <w:tc>
          <w:tcPr>
            <w:tcW w:type="dxa" w:w="7632"/>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6"/>
              </w:rPr>
              <w:t>Meaning</w:t>
            </w:r>
          </w:p>
        </w:tc>
      </w:tr>
      <w:tr>
        <w:trPr>
          <w:cantSplit/>
        </w:trPr>
        <w:tc>
          <w:tcPr>
            <w:tcW w:type="dxa" w:w="194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VERIFIED</w:t>
            </w:r>
          </w:p>
        </w:tc>
        <w:tc>
          <w:tcPr>
            <w:tcW w:type="dxa" w:w="763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Strong evidence under the active Trust Contract. Example: first-party claim plus independent corroboration, no material conflict.</w:t>
            </w:r>
          </w:p>
        </w:tc>
      </w:tr>
      <w:tr>
        <w:trPr>
          <w:cantSplit/>
        </w:trPr>
        <w:tc>
          <w:tcPr>
            <w:tcW w:type="dxa" w:w="194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SUPPORTED</w:t>
            </w:r>
          </w:p>
        </w:tc>
        <w:tc>
          <w:tcPr>
            <w:tcW w:type="dxa" w:w="763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Evidence exists and passes validation, but does not meet the highest verification rule.</w:t>
            </w:r>
          </w:p>
        </w:tc>
      </w:tr>
      <w:tr>
        <w:trPr>
          <w:cantSplit/>
        </w:trPr>
        <w:tc>
          <w:tcPr>
            <w:tcW w:type="dxa" w:w="194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SINGLE_SOURCE</w:t>
            </w:r>
          </w:p>
        </w:tc>
        <w:tc>
          <w:tcPr>
            <w:tcW w:type="dxa" w:w="763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Only one valid source supports the field.</w:t>
            </w:r>
          </w:p>
        </w:tc>
      </w:tr>
      <w:tr>
        <w:trPr>
          <w:cantSplit/>
        </w:trPr>
        <w:tc>
          <w:tcPr>
            <w:tcW w:type="dxa" w:w="194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CONFLICTING</w:t>
            </w:r>
          </w:p>
        </w:tc>
        <w:tc>
          <w:tcPr>
            <w:tcW w:type="dxa" w:w="763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Two or more valid claims materially disagree.</w:t>
            </w:r>
          </w:p>
        </w:tc>
      </w:tr>
      <w:tr>
        <w:trPr>
          <w:cantSplit/>
        </w:trPr>
        <w:tc>
          <w:tcPr>
            <w:tcW w:type="dxa" w:w="194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NEEDS_REVIEW</w:t>
            </w:r>
          </w:p>
        </w:tc>
        <w:tc>
          <w:tcPr>
            <w:tcW w:type="dxa" w:w="763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Extraction/entity match is ambiguous or failed a quality rule.</w:t>
            </w:r>
          </w:p>
        </w:tc>
      </w:tr>
      <w:tr>
        <w:trPr>
          <w:cantSplit/>
        </w:trPr>
        <w:tc>
          <w:tcPr>
            <w:tcW w:type="dxa" w:w="194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MISSING</w:t>
            </w:r>
          </w:p>
        </w:tc>
        <w:tc>
          <w:tcPr>
            <w:tcW w:type="dxa" w:w="763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Required field not found after allowed collection steps.</w:t>
            </w:r>
          </w:p>
        </w:tc>
      </w:tr>
    </w:tbl>
    <w:p>
      <w:pPr>
        <w:keepLines w:val="0"/>
        <w:widowControl/>
        <w:spacing w:after="0"/>
      </w:pPr>
    </w:p>
    <w:p>
      <w:pPr>
        <w:keepLines w:val="0"/>
        <w:widowControl/>
        <w:spacing w:after="120" w:line="259" w:lineRule="auto"/>
      </w:pPr>
      <w:r>
        <w:rPr>
          <w:rFonts w:ascii="Aptos" w:hAnsi="Aptos"/>
          <w:color w:val="17202A"/>
          <w:sz w:val="20"/>
        </w:rPr>
        <w:t>Numeric probabilities may be added only after the team has labeled ground truth and calibrated a model. In the hackathon, the UI shows evidence signals (source count, source types, agreement, freshness, validation flags) rather than pretending an arbitrary 0.93 is a calibrated probability.</w:t>
      </w:r>
    </w:p>
    <w:p>
      <w:pPr>
        <w:pStyle w:val="Heading2"/>
        <w:keepLines w:val="0"/>
        <w:widowControl/>
      </w:pPr>
      <w:r>
        <w:t>9.3 Workflow planning algorithm</w:t>
      </w:r>
    </w:p>
    <w:tbl>
      <w:tblPr>
        <w:tblW w:type="auto" w:w="0"/>
        <w:tblLook w:firstColumn="1" w:firstRow="1" w:lastColumn="0" w:lastRow="0" w:noHBand="0" w:noVBand="1" w:val="04A0"/>
      </w:tblPr>
      <w:tblGrid>
        <w:gridCol w:w="10282"/>
      </w:tblGrid>
      <w:tr>
        <w:trPr>
          <w:cantSplit/>
        </w:trPr>
        <w:tc>
          <w:tcPr>
            <w:tcW w:type="dxa" w:w="10282"/>
            <w:shd w:fill="F3F4F6"/>
            <w:tcBorders>
              <w:top w:val="single" w:sz="4" w:color="D5D8DC"/>
              <w:left w:val="single" w:sz="4" w:color="D5D8DC"/>
              <w:bottom w:val="single" w:sz="4" w:color="D5D8DC"/>
              <w:right w:val="single" w:sz="4" w:color="D5D8DC"/>
            </w:tcBorders>
          </w:tcPr>
          <w:p>
            <w:r>
              <w:rPr>
                <w:rFonts w:ascii="DejaVu Sans Mono" w:hAnsi="DejaVu Sans Mono"/>
                <w:color w:val="17202A"/>
                <w:sz w:val="17"/>
              </w:rPr>
              <w:t>1. Parse RequirementSpec.</w:t>
              <w:br/>
            </w:r>
            <w:r>
              <w:rPr>
                <w:rFonts w:ascii="DejaVu Sans Mono" w:hAnsi="DejaVu Sans Mono"/>
                <w:color w:val="17202A"/>
                <w:sz w:val="17"/>
              </w:rPr>
              <w:t>2. Select operators from a fixed registry only.</w:t>
              <w:br/>
            </w:r>
            <w:r>
              <w:rPr>
                <w:rFonts w:ascii="DejaVu Sans Mono" w:hAnsi="DejaVu Sans Mono"/>
                <w:color w:val="17202A"/>
                <w:sz w:val="17"/>
              </w:rPr>
              <w:t>3. Generate PlanDAG with typed inputs/outputs.</w:t>
              <w:br/>
            </w:r>
            <w:r>
              <w:rPr>
                <w:rFonts w:ascii="DejaVu Sans Mono" w:hAnsi="DejaVu Sans Mono"/>
                <w:color w:val="17202A"/>
                <w:sz w:val="17"/>
              </w:rPr>
              <w:t>4. Validate: acyclic, supported operators, source policy, page/browser/token budgets.</w:t>
              <w:br/>
            </w:r>
            <w:r>
              <w:rPr>
                <w:rFonts w:ascii="DejaVu Sans Mono" w:hAnsi="DejaVu Sans Mono"/>
                <w:color w:val="17202A"/>
                <w:sz w:val="17"/>
              </w:rPr>
              <w:t>5. Estimate execution cost/time.</w:t>
              <w:br/>
            </w:r>
            <w:r>
              <w:rPr>
                <w:rFonts w:ascii="DejaVu Sans Mono" w:hAnsi="DejaVu Sans Mono"/>
                <w:color w:val="17202A"/>
                <w:sz w:val="17"/>
              </w:rPr>
              <w:t>6. Require user confirmation if plan exceeds soft thresholds.</w:t>
              <w:br/>
            </w:r>
            <w:r>
              <w:rPr>
                <w:rFonts w:ascii="DejaVu Sans Mono" w:hAnsi="DejaVu Sans Mono"/>
                <w:color w:val="17202A"/>
                <w:sz w:val="17"/>
              </w:rPr>
              <w:t>7. Execute deterministically with per-node retry and explicit failure state.</w:t>
              <w:br/>
            </w:r>
          </w:p>
        </w:tc>
      </w:tr>
    </w:tbl>
    <w:p>
      <w:pPr>
        <w:keepLines w:val="0"/>
        <w:widowControl/>
        <w:spacing w:after="0"/>
      </w:pP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2304"/>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6"/>
              </w:rPr>
              <w:t>Operator</w:t>
            </w:r>
          </w:p>
        </w:tc>
        <w:tc>
          <w:tcPr>
            <w:tcW w:type="dxa" w:w="7200"/>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6"/>
              </w:rPr>
              <w:t>Purpose</w:t>
            </w:r>
          </w:p>
        </w:tc>
      </w:tr>
      <w:tr>
        <w:trPr>
          <w:cantSplit/>
        </w:trPr>
        <w:tc>
          <w:tcPr>
            <w:tcW w:type="dxa" w:w="230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SEARCH</w:t>
            </w:r>
          </w:p>
        </w:tc>
        <w:tc>
          <w:tcPr>
            <w:tcW w:type="dxa" w:w="720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Discover candidate URLs/sources</w:t>
            </w:r>
          </w:p>
        </w:tc>
      </w:tr>
      <w:tr>
        <w:trPr>
          <w:cantSplit/>
        </w:trPr>
        <w:tc>
          <w:tcPr>
            <w:tcW w:type="dxa" w:w="230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FETCH_API</w:t>
            </w:r>
          </w:p>
        </w:tc>
        <w:tc>
          <w:tcPr>
            <w:tcW w:type="dxa" w:w="720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Call permitted structured API</w:t>
            </w:r>
          </w:p>
        </w:tc>
      </w:tr>
      <w:tr>
        <w:trPr>
          <w:cantSplit/>
        </w:trPr>
        <w:tc>
          <w:tcPr>
            <w:tcW w:type="dxa" w:w="230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FETCH_RSS</w:t>
            </w:r>
          </w:p>
        </w:tc>
        <w:tc>
          <w:tcPr>
            <w:tcW w:type="dxa" w:w="720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Read feed</w:t>
            </w:r>
          </w:p>
        </w:tc>
      </w:tr>
      <w:tr>
        <w:trPr>
          <w:cantSplit/>
        </w:trPr>
        <w:tc>
          <w:tcPr>
            <w:tcW w:type="dxa" w:w="230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FETCH_HTTP</w:t>
            </w:r>
          </w:p>
        </w:tc>
        <w:tc>
          <w:tcPr>
            <w:tcW w:type="dxa" w:w="720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Fetch static HTML</w:t>
            </w:r>
          </w:p>
        </w:tc>
      </w:tr>
      <w:tr>
        <w:trPr>
          <w:cantSplit/>
        </w:trPr>
        <w:tc>
          <w:tcPr>
            <w:tcW w:type="dxa" w:w="230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CRAWL</w:t>
            </w:r>
          </w:p>
        </w:tc>
        <w:tc>
          <w:tcPr>
            <w:tcW w:type="dxa" w:w="720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Render/crawl page</w:t>
            </w:r>
          </w:p>
        </w:tc>
      </w:tr>
      <w:tr>
        <w:trPr>
          <w:cantSplit/>
        </w:trPr>
        <w:tc>
          <w:tcPr>
            <w:tcW w:type="dxa" w:w="230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BROWSER</w:t>
            </w:r>
          </w:p>
        </w:tc>
        <w:tc>
          <w:tcPr>
            <w:tcW w:type="dxa" w:w="720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Scripted interaction fallback</w:t>
            </w:r>
          </w:p>
        </w:tc>
      </w:tr>
      <w:tr>
        <w:trPr>
          <w:cantSplit/>
        </w:trPr>
        <w:tc>
          <w:tcPr>
            <w:tcW w:type="dxa" w:w="230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EXTRACT</w:t>
            </w:r>
          </w:p>
        </w:tc>
        <w:tc>
          <w:tcPr>
            <w:tcW w:type="dxa" w:w="720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Map content to schema</w:t>
            </w:r>
          </w:p>
        </w:tc>
      </w:tr>
      <w:tr>
        <w:trPr>
          <w:cantSplit/>
        </w:trPr>
        <w:tc>
          <w:tcPr>
            <w:tcW w:type="dxa" w:w="230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NORMALIZE</w:t>
            </w:r>
          </w:p>
        </w:tc>
        <w:tc>
          <w:tcPr>
            <w:tcW w:type="dxa" w:w="720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Canonicalize values</w:t>
            </w:r>
          </w:p>
        </w:tc>
      </w:tr>
      <w:tr>
        <w:trPr>
          <w:cantSplit/>
        </w:trPr>
        <w:tc>
          <w:tcPr>
            <w:tcW w:type="dxa" w:w="230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VALIDATE</w:t>
            </w:r>
          </w:p>
        </w:tc>
        <w:tc>
          <w:tcPr>
            <w:tcW w:type="dxa" w:w="720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Apply schema/business rules</w:t>
            </w:r>
          </w:p>
        </w:tc>
      </w:tr>
      <w:tr>
        <w:trPr>
          <w:cantSplit/>
        </w:trPr>
        <w:tc>
          <w:tcPr>
            <w:tcW w:type="dxa" w:w="230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ENTITY_RESOLVE</w:t>
            </w:r>
          </w:p>
        </w:tc>
        <w:tc>
          <w:tcPr>
            <w:tcW w:type="dxa" w:w="720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Link duplicates</w:t>
            </w:r>
          </w:p>
        </w:tc>
      </w:tr>
      <w:tr>
        <w:trPr>
          <w:cantSplit/>
        </w:trPr>
        <w:tc>
          <w:tcPr>
            <w:tcW w:type="dxa" w:w="230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FUSE_CLAIMS</w:t>
            </w:r>
          </w:p>
        </w:tc>
        <w:tc>
          <w:tcPr>
            <w:tcW w:type="dxa" w:w="720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Derive canonical field while preserving evidence</w:t>
            </w:r>
          </w:p>
        </w:tc>
      </w:tr>
      <w:tr>
        <w:trPr>
          <w:cantSplit/>
        </w:trPr>
        <w:tc>
          <w:tcPr>
            <w:tcW w:type="dxa" w:w="230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STORE</w:t>
            </w:r>
          </w:p>
        </w:tc>
        <w:tc>
          <w:tcPr>
            <w:tcW w:type="dxa" w:w="720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Persist</w:t>
            </w:r>
          </w:p>
        </w:tc>
      </w:tr>
      <w:tr>
        <w:trPr>
          <w:cantSplit/>
        </w:trPr>
        <w:tc>
          <w:tcPr>
            <w:tcW w:type="dxa" w:w="230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INDEX</w:t>
            </w:r>
          </w:p>
        </w:tc>
        <w:tc>
          <w:tcPr>
            <w:tcW w:type="dxa" w:w="720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Vector/text index</w:t>
            </w:r>
          </w:p>
        </w:tc>
      </w:tr>
      <w:tr>
        <w:trPr>
          <w:cantSplit/>
        </w:trPr>
        <w:tc>
          <w:tcPr>
            <w:tcW w:type="dxa" w:w="230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EXPORT</w:t>
            </w:r>
          </w:p>
        </w:tc>
        <w:tc>
          <w:tcPr>
            <w:tcW w:type="dxa" w:w="720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Generate output</w:t>
            </w:r>
          </w:p>
        </w:tc>
      </w:tr>
    </w:tbl>
    <w:p>
      <w:pPr>
        <w:keepLines w:val="0"/>
        <w:widowControl/>
        <w:spacing w:after="0"/>
      </w:pPr>
    </w:p>
    <w:p>
      <w:pPr>
        <w:pStyle w:val="Heading2"/>
        <w:keepLines w:val="0"/>
        <w:widowControl/>
      </w:pPr>
      <w:r>
        <w:t>9.4 Adaptive source/tool routing</w:t>
      </w:r>
    </w:p>
    <w:p>
      <w:pPr>
        <w:keepLines w:val="0"/>
        <w:widowControl/>
        <w:spacing w:after="120" w:line="259" w:lineRule="auto"/>
      </w:pPr>
      <w:r>
        <w:rPr>
          <w:rFonts w:ascii="Aptos" w:hAnsi="Aptos"/>
          <w:color w:val="17202A"/>
          <w:sz w:val="20"/>
        </w:rPr>
        <w:t>The router is an escalation ladder because cost, latency and failure risk generally rise as collection becomes more interactive. The MVP should use deterministic routing rules wherever possible.</w:t>
      </w:r>
    </w:p>
    <w:tbl>
      <w:tblPr>
        <w:tblW w:type="auto" w:w="0"/>
        <w:tblLook w:firstColumn="1" w:firstRow="1" w:lastColumn="0" w:lastRow="0" w:noHBand="0" w:noVBand="1" w:val="04A0"/>
      </w:tblPr>
      <w:tblGrid>
        <w:gridCol w:w="10282"/>
      </w:tblGrid>
      <w:tr>
        <w:trPr>
          <w:cantSplit/>
        </w:trPr>
        <w:tc>
          <w:tcPr>
            <w:tcW w:type="dxa" w:w="10282"/>
            <w:shd w:fill="F3F4F6"/>
            <w:tcBorders>
              <w:top w:val="single" w:sz="4" w:color="D5D8DC"/>
              <w:left w:val="single" w:sz="4" w:color="D5D8DC"/>
              <w:bottom w:val="single" w:sz="4" w:color="D5D8DC"/>
              <w:right w:val="single" w:sz="4" w:color="D5D8DC"/>
            </w:tcBorders>
          </w:tcPr>
          <w:p>
            <w:r>
              <w:rPr>
                <w:rFonts w:ascii="DejaVu Sans Mono" w:hAnsi="DejaVu Sans Mono"/>
                <w:color w:val="17202A"/>
                <w:sz w:val="17"/>
              </w:rPr>
              <w:t>Known/official API?          -&gt; API</w:t>
              <w:br/>
            </w:r>
            <w:r>
              <w:rPr>
                <w:rFonts w:ascii="DejaVu Sans Mono" w:hAnsi="DejaVu Sans Mono"/>
                <w:color w:val="17202A"/>
                <w:sz w:val="17"/>
              </w:rPr>
              <w:t>RSS / sitemap / JSON-LD?     -&gt; structured fetch</w:t>
              <w:br/>
            </w:r>
            <w:r>
              <w:rPr>
                <w:rFonts w:ascii="DejaVu Sans Mono" w:hAnsi="DejaVu Sans Mono"/>
                <w:color w:val="17202A"/>
                <w:sz w:val="17"/>
              </w:rPr>
              <w:t>Static public HTML?          -&gt; HTTP + parser</w:t>
              <w:br/>
            </w:r>
            <w:r>
              <w:rPr>
                <w:rFonts w:ascii="DejaVu Sans Mono" w:hAnsi="DejaVu Sans Mono"/>
                <w:color w:val="17202A"/>
                <w:sz w:val="17"/>
              </w:rPr>
              <w:t>Rendered JS but no clicks?   -&gt; Crawl4AI/rendered fetch</w:t>
              <w:br/>
            </w:r>
            <w:r>
              <w:rPr>
                <w:rFonts w:ascii="DejaVu Sans Mono" w:hAnsi="DejaVu Sans Mono"/>
                <w:color w:val="17202A"/>
                <w:sz w:val="17"/>
              </w:rPr>
              <w:t>Known interaction required?  -&gt; scripted Playwright</w:t>
              <w:br/>
            </w:r>
            <w:r>
              <w:rPr>
                <w:rFonts w:ascii="DejaVu Sans Mono" w:hAnsi="DejaVu Sans Mono"/>
                <w:color w:val="17202A"/>
                <w:sz w:val="17"/>
              </w:rPr>
              <w:t>Unknown UI navigation?       -&gt; autonomous browser (not core MVP)</w:t>
              <w:br/>
            </w:r>
          </w:p>
        </w:tc>
      </w:tr>
    </w:tbl>
    <w:p>
      <w:pPr>
        <w:keepLines w:val="0"/>
        <w:widowControl/>
        <w:spacing w:after="0"/>
      </w:pPr>
    </w:p>
    <w:p>
      <w:pPr>
        <w:pStyle w:val="Heading2"/>
        <w:keepLines w:val="0"/>
        <w:widowControl/>
      </w:pPr>
      <w:r>
        <w:t>9.5 Extraction ladder</w:t>
      </w:r>
    </w:p>
    <w:tbl>
      <w:tblPr>
        <w:tblW w:type="auto" w:w="0"/>
        <w:tblLook w:firstColumn="1" w:firstRow="1" w:lastColumn="0" w:lastRow="0" w:noHBand="0" w:noVBand="1" w:val="04A0"/>
      </w:tblPr>
      <w:tblGrid>
        <w:gridCol w:w="10282"/>
      </w:tblGrid>
      <w:tr>
        <w:trPr>
          <w:cantSplit/>
        </w:trPr>
        <w:tc>
          <w:tcPr>
            <w:tcW w:type="dxa" w:w="10282"/>
            <w:shd w:fill="F3F4F6"/>
            <w:tcBorders>
              <w:top w:val="single" w:sz="4" w:color="D5D8DC"/>
              <w:left w:val="single" w:sz="4" w:color="D5D8DC"/>
              <w:bottom w:val="single" w:sz="4" w:color="D5D8DC"/>
              <w:right w:val="single" w:sz="4" w:color="D5D8DC"/>
            </w:tcBorders>
          </w:tcPr>
          <w:p>
            <w:r>
              <w:rPr>
                <w:rFonts w:ascii="DejaVu Sans Mono" w:hAnsi="DejaVu Sans Mono"/>
                <w:color w:val="17202A"/>
                <w:sz w:val="17"/>
              </w:rPr>
              <w:t>schema.org / JSON-LD</w:t>
              <w:br/>
            </w:r>
            <w:r>
              <w:rPr>
                <w:rFonts w:ascii="DejaVu Sans Mono" w:hAnsi="DejaVu Sans Mono"/>
                <w:color w:val="17202A"/>
                <w:sz w:val="17"/>
              </w:rPr>
              <w:t xml:space="preserve">        ↓ unavailable</w:t>
              <w:br/>
            </w:r>
            <w:r>
              <w:rPr>
                <w:rFonts w:ascii="DejaVu Sans Mono" w:hAnsi="DejaVu Sans Mono"/>
                <w:color w:val="17202A"/>
                <w:sz w:val="17"/>
              </w:rPr>
              <w:t>Known API / structured response</w:t>
              <w:br/>
            </w:r>
            <w:r>
              <w:rPr>
                <w:rFonts w:ascii="DejaVu Sans Mono" w:hAnsi="DejaVu Sans Mono"/>
                <w:color w:val="17202A"/>
                <w:sz w:val="17"/>
              </w:rPr>
              <w:t xml:space="preserve">        ↓</w:t>
              <w:br/>
            </w:r>
            <w:r>
              <w:rPr>
                <w:rFonts w:ascii="DejaVu Sans Mono" w:hAnsi="DejaVu Sans Mono"/>
                <w:color w:val="17202A"/>
                <w:sz w:val="17"/>
              </w:rPr>
              <w:t>Stable CSS / XPath selectors</w:t>
              <w:br/>
            </w:r>
            <w:r>
              <w:rPr>
                <w:rFonts w:ascii="DejaVu Sans Mono" w:hAnsi="DejaVu Sans Mono"/>
                <w:color w:val="17202A"/>
                <w:sz w:val="17"/>
              </w:rPr>
              <w:t xml:space="preserve">        ↓</w:t>
              <w:br/>
            </w:r>
            <w:r>
              <w:rPr>
                <w:rFonts w:ascii="DejaVu Sans Mono" w:hAnsi="DejaVu Sans Mono"/>
                <w:color w:val="17202A"/>
                <w:sz w:val="17"/>
              </w:rPr>
              <w:t>Heuristics / regex for deterministic fields</w:t>
              <w:br/>
            </w:r>
            <w:r>
              <w:rPr>
                <w:rFonts w:ascii="DejaVu Sans Mono" w:hAnsi="DejaVu Sans Mono"/>
                <w:color w:val="17202A"/>
                <w:sz w:val="17"/>
              </w:rPr>
              <w:t xml:space="preserve">        ↓</w:t>
              <w:br/>
            </w:r>
            <w:r>
              <w:rPr>
                <w:rFonts w:ascii="DejaVu Sans Mono" w:hAnsi="DejaVu Sans Mono"/>
                <w:color w:val="17202A"/>
                <w:sz w:val="17"/>
              </w:rPr>
              <w:t>LLM structured extraction (schema-constrained)</w:t>
              <w:br/>
            </w:r>
            <w:r>
              <w:rPr>
                <w:rFonts w:ascii="DejaVu Sans Mono" w:hAnsi="DejaVu Sans Mono"/>
                <w:color w:val="17202A"/>
                <w:sz w:val="17"/>
              </w:rPr>
              <w:t xml:space="preserve">        ↓</w:t>
              <w:br/>
            </w:r>
            <w:r>
              <w:rPr>
                <w:rFonts w:ascii="DejaVu Sans Mono" w:hAnsi="DejaVu Sans Mono"/>
                <w:color w:val="17202A"/>
                <w:sz w:val="17"/>
              </w:rPr>
              <w:t>Vision/browser extraction only when necessary</w:t>
              <w:br/>
            </w:r>
          </w:p>
        </w:tc>
      </w:tr>
    </w:tbl>
    <w:p>
      <w:pPr>
        <w:keepLines w:val="0"/>
        <w:widowControl/>
        <w:spacing w:after="0"/>
      </w:pPr>
    </w:p>
    <w:p>
      <w:pPr>
        <w:pStyle w:val="Heading2"/>
        <w:keepLines w:val="0"/>
        <w:widowControl/>
      </w:pPr>
      <w:r>
        <w:t>9.6 Entity resolution</w:t>
      </w:r>
    </w:p>
    <w:p>
      <w:pPr>
        <w:keepLines w:val="0"/>
        <w:widowControl/>
        <w:jc w:val="center"/>
      </w:pPr>
      <w:r>
        <w:drawing>
          <wp:inline xmlns:a="http://schemas.openxmlformats.org/drawingml/2006/main" xmlns:pic="http://schemas.openxmlformats.org/drawingml/2006/picture">
            <wp:extent cx="6080760" cy="474760"/>
            <wp:docPr id="4" name="Picture 4"/>
            <wp:cNvGraphicFramePr>
              <a:graphicFrameLocks noChangeAspect="1"/>
            </wp:cNvGraphicFramePr>
            <a:graphic>
              <a:graphicData uri="http://schemas.openxmlformats.org/drawingml/2006/picture">
                <pic:pic>
                  <pic:nvPicPr>
                    <pic:cNvPr id="0" name="entity_resolution.png"/>
                    <pic:cNvPicPr/>
                  </pic:nvPicPr>
                  <pic:blipFill>
                    <a:blip r:embed="rId14"/>
                    <a:stretch>
                      <a:fillRect/>
                    </a:stretch>
                  </pic:blipFill>
                  <pic:spPr>
                    <a:xfrm>
                      <a:off x="0" y="0"/>
                      <a:ext cx="6080760" cy="474760"/>
                    </a:xfrm>
                    <a:prstGeom prst="rect"/>
                  </pic:spPr>
                </pic:pic>
              </a:graphicData>
            </a:graphic>
          </wp:inline>
        </w:drawing>
      </w:r>
    </w:p>
    <w:p>
      <w:pPr>
        <w:keepLines w:val="0"/>
        <w:widowControl/>
        <w:spacing w:after="140"/>
        <w:jc w:val="center"/>
      </w:pPr>
      <w:r>
        <w:rPr>
          <w:rFonts w:ascii="Aptos" w:hAnsi="Aptos"/>
          <w:i/>
          <w:color w:val="5D6D7E"/>
          <w:sz w:val="17"/>
        </w:rPr>
        <w:t>Figure 4. Multi-stage entity resolution avoids both O(n²) comparisons and opaque AI merges.</w:t>
      </w:r>
    </w:p>
    <w:p>
      <w:pPr>
        <w:keepLines w:val="0"/>
        <w:widowControl/>
        <w:spacing w:after="120" w:line="259" w:lineRule="auto"/>
      </w:pPr>
      <w:r>
        <w:rPr>
          <w:rFonts w:ascii="Aptos" w:hAnsi="Aptos"/>
          <w:color w:val="17202A"/>
          <w:sz w:val="20"/>
        </w:rPr>
        <w:t>MVP decision policy: exact identifier/domain matches can auto-merge. High fuzzy + semantic + cross-field agreement can auto-merge above a conservative threshold. Mid-band candidates are surfaced for review. Low similarity stays separate. Qdrant is used for candidate retrieval, not as the final merge authority.</w:t>
      </w:r>
    </w:p>
    <w:p>
      <w:pPr>
        <w:pStyle w:val="Heading2"/>
        <w:keepLines w:val="0"/>
        <w:widowControl/>
      </w:pPr>
      <w:r>
        <w:t>9.7 Conflict resolution</w:t>
      </w:r>
    </w:p>
    <w:p>
      <w:pPr>
        <w:pStyle w:val="ListBullet"/>
        <w:keepLines w:val="0"/>
        <w:widowControl/>
        <w:spacing w:after="40"/>
      </w:pPr>
      <w:r>
        <w:rPr>
          <w:rFonts w:ascii="Aptos" w:hAnsi="Aptos"/>
          <w:color w:val="17202A"/>
          <w:sz w:val="20"/>
        </w:rPr>
        <w:t>Store all valid claims first; never overwrite evidence during normalization.</w:t>
      </w:r>
    </w:p>
    <w:p>
      <w:pPr>
        <w:pStyle w:val="ListBullet"/>
        <w:keepLines w:val="0"/>
        <w:widowControl/>
        <w:spacing w:after="40"/>
      </w:pPr>
      <w:r>
        <w:rPr>
          <w:rFonts w:ascii="Aptos" w:hAnsi="Aptos"/>
          <w:color w:val="17202A"/>
          <w:sz w:val="20"/>
        </w:rPr>
        <w:t>Prefer direct first-party or authoritative registry sources when the claim type makes them authoritative.</w:t>
      </w:r>
    </w:p>
    <w:p>
      <w:pPr>
        <w:pStyle w:val="ListBullet"/>
        <w:keepLines w:val="0"/>
        <w:widowControl/>
        <w:spacing w:after="40"/>
      </w:pPr>
      <w:r>
        <w:rPr>
          <w:rFonts w:ascii="Aptos" w:hAnsi="Aptos"/>
          <w:color w:val="17202A"/>
          <w:sz w:val="20"/>
        </w:rPr>
        <w:t>Do not count obvious syndicated/copy-pasted sources as independent corroboration when content hashes/snippets strongly overlap.</w:t>
      </w:r>
    </w:p>
    <w:p>
      <w:pPr>
        <w:pStyle w:val="ListBullet"/>
        <w:keepLines w:val="0"/>
        <w:widowControl/>
        <w:spacing w:after="40"/>
      </w:pPr>
      <w:r>
        <w:rPr>
          <w:rFonts w:ascii="Aptos" w:hAnsi="Aptos"/>
          <w:color w:val="17202A"/>
          <w:sz w:val="20"/>
        </w:rPr>
        <w:t>If disagreement is material and cannot be resolved by policy, mark CONFLICTING and show both values.</w:t>
      </w:r>
    </w:p>
    <w:p>
      <w:pPr>
        <w:pStyle w:val="ListBullet"/>
        <w:keepLines w:val="0"/>
        <w:widowControl/>
        <w:spacing w:after="40"/>
      </w:pPr>
      <w:r>
        <w:rPr>
          <w:rFonts w:ascii="Aptos" w:hAnsi="Aptos"/>
          <w:color w:val="17202A"/>
          <w:sz w:val="20"/>
        </w:rPr>
        <w:t>Canonical display value is a presentation decision; evidence history remains intact.</w:t>
      </w:r>
    </w:p>
    <w:p>
      <w:pPr>
        <w:pStyle w:val="Heading2"/>
        <w:keepLines w:val="0"/>
        <w:widowControl/>
      </w:pPr>
      <w:r>
        <w:t>9.8 Version diff</w:t>
      </w:r>
    </w:p>
    <w:p>
      <w:pPr>
        <w:keepLines w:val="0"/>
        <w:widowControl/>
        <w:spacing w:after="120" w:line="259" w:lineRule="auto"/>
      </w:pPr>
      <w:r>
        <w:rPr>
          <w:rFonts w:ascii="Aptos" w:hAnsi="Aptos"/>
          <w:color w:val="17202A"/>
          <w:sz w:val="20"/>
        </w:rPr>
        <w:t>Each workflow run produces a DatasetVersion. Records receive stable entity IDs and normalized hashes. The diff engine compares canonical fields and claim sets to label records as added, changed, missing-from-latest-run, or conflict-changed. “Missing” is not immediately interpreted as “ceased to exist”; it is a collection outcome that may require another successful refresh before stronger conclusions.</w:t>
      </w:r>
    </w:p>
    <w:p>
      <w:pPr>
        <w:pStyle w:val="Heading1"/>
        <w:keepLines w:val="0"/>
        <w:widowControl/>
      </w:pPr>
      <w:r>
        <w:t>10. Data model</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2376"/>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6"/>
              </w:rPr>
              <w:t>Object / table</w:t>
            </w:r>
          </w:p>
        </w:tc>
        <w:tc>
          <w:tcPr>
            <w:tcW w:type="dxa" w:w="7200"/>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6"/>
              </w:rPr>
              <w:t>Purpose</w:t>
            </w:r>
          </w:p>
        </w:tc>
      </w:tr>
      <w:tr>
        <w:trPr>
          <w:cantSplit/>
        </w:trPr>
        <w:tc>
          <w:tcPr>
            <w:tcW w:type="dxa" w:w="237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requirements</w:t>
            </w:r>
          </w:p>
        </w:tc>
        <w:tc>
          <w:tcPr>
            <w:tcW w:type="dxa" w:w="720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Original prompt + typed RequirementSpec + schema intent</w:t>
            </w:r>
          </w:p>
        </w:tc>
      </w:tr>
      <w:tr>
        <w:trPr>
          <w:cantSplit/>
        </w:trPr>
        <w:tc>
          <w:tcPr>
            <w:tcW w:type="dxa" w:w="237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workflows</w:t>
            </w:r>
          </w:p>
        </w:tc>
        <w:tc>
          <w:tcPr>
            <w:tcW w:type="dxa" w:w="720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Logical reusable workflow</w:t>
            </w:r>
          </w:p>
        </w:tc>
      </w:tr>
      <w:tr>
        <w:trPr>
          <w:cantSplit/>
        </w:trPr>
        <w:tc>
          <w:tcPr>
            <w:tcW w:type="dxa" w:w="237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workflow_versions</w:t>
            </w:r>
          </w:p>
        </w:tc>
        <w:tc>
          <w:tcPr>
            <w:tcW w:type="dxa" w:w="720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PlanDAG revisions</w:t>
            </w:r>
          </w:p>
        </w:tc>
      </w:tr>
      <w:tr>
        <w:trPr>
          <w:cantSplit/>
        </w:trPr>
        <w:tc>
          <w:tcPr>
            <w:tcW w:type="dxa" w:w="237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workflow_runs</w:t>
            </w:r>
          </w:p>
        </w:tc>
        <w:tc>
          <w:tcPr>
            <w:tcW w:type="dxa" w:w="720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Execution instance and overall status</w:t>
            </w:r>
          </w:p>
        </w:tc>
      </w:tr>
      <w:tr>
        <w:trPr>
          <w:cantSplit/>
        </w:trPr>
        <w:tc>
          <w:tcPr>
            <w:tcW w:type="dxa" w:w="237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step_runs</w:t>
            </w:r>
          </w:p>
        </w:tc>
        <w:tc>
          <w:tcPr>
            <w:tcW w:type="dxa" w:w="720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Per-node status, latency, retries, cost</w:t>
            </w:r>
          </w:p>
        </w:tc>
      </w:tr>
      <w:tr>
        <w:trPr>
          <w:cantSplit/>
        </w:trPr>
        <w:tc>
          <w:tcPr>
            <w:tcW w:type="dxa" w:w="237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sources</w:t>
            </w:r>
          </w:p>
        </w:tc>
        <w:tc>
          <w:tcPr>
            <w:tcW w:type="dxa" w:w="720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Canonical source identity/domain/type/policy metadata</w:t>
            </w:r>
          </w:p>
        </w:tc>
      </w:tr>
      <w:tr>
        <w:trPr>
          <w:cantSplit/>
        </w:trPr>
        <w:tc>
          <w:tcPr>
            <w:tcW w:type="dxa" w:w="237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raw_documents</w:t>
            </w:r>
          </w:p>
        </w:tc>
        <w:tc>
          <w:tcPr>
            <w:tcW w:type="dxa" w:w="720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Fetched content metadata, hash, storage pointer</w:t>
            </w:r>
          </w:p>
        </w:tc>
      </w:tr>
      <w:tr>
        <w:trPr>
          <w:cantSplit/>
        </w:trPr>
        <w:tc>
          <w:tcPr>
            <w:tcW w:type="dxa" w:w="237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dataset_schemas</w:t>
            </w:r>
          </w:p>
        </w:tc>
        <w:tc>
          <w:tcPr>
            <w:tcW w:type="dxa" w:w="720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Versioned user/AI field definitions</w:t>
            </w:r>
          </w:p>
        </w:tc>
      </w:tr>
      <w:tr>
        <w:trPr>
          <w:cantSplit/>
        </w:trPr>
        <w:tc>
          <w:tcPr>
            <w:tcW w:type="dxa" w:w="237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datasets</w:t>
            </w:r>
          </w:p>
        </w:tc>
        <w:tc>
          <w:tcPr>
            <w:tcW w:type="dxa" w:w="720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Logical dataset</w:t>
            </w:r>
          </w:p>
        </w:tc>
      </w:tr>
      <w:tr>
        <w:trPr>
          <w:cantSplit/>
        </w:trPr>
        <w:tc>
          <w:tcPr>
            <w:tcW w:type="dxa" w:w="237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dataset_versions</w:t>
            </w:r>
          </w:p>
        </w:tc>
        <w:tc>
          <w:tcPr>
            <w:tcW w:type="dxa" w:w="720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Snapshot/diff metadata per run</w:t>
            </w:r>
          </w:p>
        </w:tc>
      </w:tr>
      <w:tr>
        <w:trPr>
          <w:cantSplit/>
        </w:trPr>
        <w:tc>
          <w:tcPr>
            <w:tcW w:type="dxa" w:w="237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records</w:t>
            </w:r>
          </w:p>
        </w:tc>
        <w:tc>
          <w:tcPr>
            <w:tcW w:type="dxa" w:w="720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Canonical entities; flexible business fields in JSONB</w:t>
            </w:r>
          </w:p>
        </w:tc>
      </w:tr>
      <w:tr>
        <w:trPr>
          <w:cantSplit/>
        </w:trPr>
        <w:tc>
          <w:tcPr>
            <w:tcW w:type="dxa" w:w="237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claims</w:t>
            </w:r>
          </w:p>
        </w:tc>
        <w:tc>
          <w:tcPr>
            <w:tcW w:type="dxa" w:w="720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Field-level evidence and normalized/raw values</w:t>
            </w:r>
          </w:p>
        </w:tc>
      </w:tr>
      <w:tr>
        <w:trPr>
          <w:cantSplit/>
        </w:trPr>
        <w:tc>
          <w:tcPr>
            <w:tcW w:type="dxa" w:w="237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entity_matches</w:t>
            </w:r>
          </w:p>
        </w:tc>
        <w:tc>
          <w:tcPr>
            <w:tcW w:type="dxa" w:w="720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Candidate pair scores and merge decision</w:t>
            </w:r>
          </w:p>
        </w:tc>
      </w:tr>
      <w:tr>
        <w:trPr>
          <w:cantSplit/>
        </w:trPr>
        <w:tc>
          <w:tcPr>
            <w:tcW w:type="dxa" w:w="237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conflicts</w:t>
            </w:r>
          </w:p>
        </w:tc>
        <w:tc>
          <w:tcPr>
            <w:tcW w:type="dxa" w:w="720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Unresolved materially different claims</w:t>
            </w:r>
          </w:p>
        </w:tc>
      </w:tr>
      <w:tr>
        <w:trPr>
          <w:cantSplit/>
        </w:trPr>
        <w:tc>
          <w:tcPr>
            <w:tcW w:type="dxa" w:w="237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quality_metrics</w:t>
            </w:r>
          </w:p>
        </w:tc>
        <w:tc>
          <w:tcPr>
            <w:tcW w:type="dxa" w:w="720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Evaluation summaries per run/version</w:t>
            </w:r>
          </w:p>
        </w:tc>
      </w:tr>
      <w:tr>
        <w:trPr>
          <w:cantSplit/>
        </w:trPr>
        <w:tc>
          <w:tcPr>
            <w:tcW w:type="dxa" w:w="237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cost_events</w:t>
            </w:r>
          </w:p>
        </w:tc>
        <w:tc>
          <w:tcPr>
            <w:tcW w:type="dxa" w:w="720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Search/LLM/browser/token cost accounting</w:t>
            </w:r>
          </w:p>
        </w:tc>
      </w:tr>
      <w:tr>
        <w:trPr>
          <w:cantSplit/>
        </w:trPr>
        <w:tc>
          <w:tcPr>
            <w:tcW w:type="dxa" w:w="237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exports</w:t>
            </w:r>
          </w:p>
        </w:tc>
        <w:tc>
          <w:tcPr>
            <w:tcW w:type="dxa" w:w="720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Generated export files</w:t>
            </w:r>
          </w:p>
        </w:tc>
      </w:tr>
      <w:tr>
        <w:trPr>
          <w:cantSplit/>
        </w:trPr>
        <w:tc>
          <w:tcPr>
            <w:tcW w:type="dxa" w:w="237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schedules</w:t>
            </w:r>
          </w:p>
        </w:tc>
        <w:tc>
          <w:tcPr>
            <w:tcW w:type="dxa" w:w="720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Optional refresh schedule</w:t>
            </w:r>
          </w:p>
        </w:tc>
      </w:tr>
    </w:tbl>
    <w:p>
      <w:pPr>
        <w:keepLines w:val="0"/>
        <w:widowControl/>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2F8"/>
            <w:tcBorders>
              <w:top w:val="single" w:sz="8" w:color="265D97"/>
              <w:left w:val="single" w:sz="8" w:color="265D97"/>
              <w:bottom w:val="single" w:sz="8" w:color="265D97"/>
              <w:right w:val="single" w:sz="8" w:color="265D97"/>
            </w:tcBorders>
          </w:tcPr>
          <w:p>
            <w:pPr>
              <w:spacing w:after="40"/>
            </w:pPr>
            <w:r>
              <w:rPr>
                <w:rFonts w:ascii="Aptos" w:hAnsi="Aptos"/>
                <w:b/>
                <w:color w:val="1E3A5F"/>
                <w:sz w:val="22"/>
              </w:rPr>
              <w:t>Data ownership rule</w:t>
            </w:r>
          </w:p>
          <w:p>
            <w:pPr>
              <w:spacing w:after="0"/>
            </w:pPr>
            <w:r>
              <w:rPr>
                <w:rFonts w:ascii="Aptos" w:hAnsi="Aptos"/>
                <w:color w:val="17202A"/>
                <w:sz w:val="19"/>
              </w:rPr>
              <w:t>PostgreSQL/Supabase is the source of truth for workflows, claims, records and versions. Qdrant is an index for semantic retrieval/candidate generation. It must never become the authoritative provenance store.</w:t>
            </w:r>
          </w:p>
        </w:tc>
      </w:tr>
    </w:tbl>
    <w:p>
      <w:pPr>
        <w:keepLines w:val="0"/>
        <w:widowControl/>
        <w:spacing w:after="0"/>
      </w:pPr>
    </w:p>
    <w:p>
      <w:pPr>
        <w:keepLines w:val="0"/>
        <w:widowControl/>
      </w:pPr>
      <w:r>
        <w:br w:type="page"/>
      </w:r>
    </w:p>
    <w:p>
      <w:pPr>
        <w:pStyle w:val="Heading1"/>
        <w:keepLines w:val="0"/>
        <w:widowControl/>
      </w:pPr>
      <w:r>
        <w:t>11. System architecture</w:t>
      </w:r>
    </w:p>
    <w:p>
      <w:pPr>
        <w:keepLines w:val="0"/>
        <w:widowControl/>
        <w:jc w:val="center"/>
      </w:pPr>
      <w:r>
        <w:drawing>
          <wp:inline xmlns:a="http://schemas.openxmlformats.org/drawingml/2006/main" xmlns:pic="http://schemas.openxmlformats.org/drawingml/2006/picture">
            <wp:extent cx="5943600" cy="1969132"/>
            <wp:docPr id="5" name="Picture 5"/>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943600" cy="1969132"/>
                    </a:xfrm>
                    <a:prstGeom prst="rect"/>
                  </pic:spPr>
                </pic:pic>
              </a:graphicData>
            </a:graphic>
          </wp:inline>
        </w:drawing>
      </w:r>
    </w:p>
    <w:p>
      <w:pPr>
        <w:keepLines w:val="0"/>
        <w:widowControl/>
        <w:spacing w:after="140"/>
        <w:jc w:val="center"/>
      </w:pPr>
      <w:r>
        <w:rPr>
          <w:rFonts w:ascii="Aptos" w:hAnsi="Aptos"/>
          <w:i/>
          <w:color w:val="5D6D7E"/>
          <w:sz w:val="17"/>
        </w:rPr>
        <w:t>Figure 5. Reference architecture for the hackathon product.</w:t>
      </w:r>
    </w:p>
    <w:p>
      <w:pPr>
        <w:pStyle w:val="Heading2"/>
        <w:keepLines w:val="0"/>
        <w:widowControl/>
      </w:pPr>
      <w:r>
        <w:t>11.1 Reference implementation choices</w:t>
      </w:r>
    </w:p>
    <w:tbl>
      <w:tblPr>
        <w:tblW w:type="auto" w:w="0"/>
        <w:jc w:val="center"/>
        <w:tblLayout w:type="autofit"/>
        <w:tblLook w:firstColumn="1" w:firstRow="1" w:lastColumn="0" w:lastRow="0" w:noHBand="0" w:noVBand="1" w:val="04A0"/>
      </w:tblPr>
      <w:tblGrid>
        <w:gridCol w:w="3427"/>
        <w:gridCol w:w="3427"/>
        <w:gridCol w:w="3427"/>
      </w:tblGrid>
      <w:tr>
        <w:trPr>
          <w:tblHeader w:val="true"/>
          <w:cantSplit/>
        </w:trPr>
        <w:tc>
          <w:tcPr>
            <w:tcW w:type="dxa" w:w="1872"/>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5"/>
              </w:rPr>
              <w:t>Layer</w:t>
            </w:r>
          </w:p>
        </w:tc>
        <w:tc>
          <w:tcPr>
            <w:tcW w:type="dxa" w:w="2880"/>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5"/>
              </w:rPr>
              <w:t>Primary choice</w:t>
            </w:r>
          </w:p>
        </w:tc>
        <w:tc>
          <w:tcPr>
            <w:tcW w:type="dxa" w:w="4896"/>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5"/>
              </w:rPr>
              <w:t>Why</w:t>
            </w:r>
          </w:p>
        </w:tc>
      </w:tr>
      <w:tr>
        <w:trPr>
          <w:cantSplit/>
        </w:trPr>
        <w:tc>
          <w:tcPr>
            <w:tcW w:type="dxa" w:w="187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Web app</w:t>
            </w:r>
          </w:p>
        </w:tc>
        <w:tc>
          <w:tcPr>
            <w:tcW w:type="dxa" w:w="288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Next.js / React + Tailwind</w:t>
            </w:r>
          </w:p>
        </w:tc>
        <w:tc>
          <w:tcPr>
            <w:tcW w:type="dxa" w:w="489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Fast product iteration; strong table/dashboard UX; server routes for lightweight actions.</w:t>
            </w:r>
          </w:p>
        </w:tc>
      </w:tr>
      <w:tr>
        <w:trPr>
          <w:cantSplit/>
        </w:trPr>
        <w:tc>
          <w:tcPr>
            <w:tcW w:type="dxa" w:w="187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Core API</w:t>
            </w:r>
          </w:p>
        </w:tc>
        <w:tc>
          <w:tcPr>
            <w:tcW w:type="dxa" w:w="288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Python FastAPI</w:t>
            </w:r>
          </w:p>
        </w:tc>
        <w:tc>
          <w:tcPr>
            <w:tcW w:type="dxa" w:w="489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Pydantic contracts, async HTTP, data/AI ecosystem and easy background-worker reuse.</w:t>
            </w:r>
          </w:p>
        </w:tc>
      </w:tr>
      <w:tr>
        <w:trPr>
          <w:cantSplit/>
        </w:trPr>
        <w:tc>
          <w:tcPr>
            <w:tcW w:type="dxa" w:w="187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Requirement / extraction LLM</w:t>
            </w:r>
          </w:p>
        </w:tc>
        <w:tc>
          <w:tcPr>
            <w:tcW w:type="dxa" w:w="288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Provider abstraction with structured-output capable model</w:t>
            </w:r>
          </w:p>
        </w:tc>
        <w:tc>
          <w:tcPr>
            <w:tcW w:type="dxa" w:w="489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Avoid lock-in; use strong model for planning and cheaper model for extraction where safe.</w:t>
            </w:r>
          </w:p>
        </w:tc>
      </w:tr>
      <w:tr>
        <w:trPr>
          <w:cantSplit/>
        </w:trPr>
        <w:tc>
          <w:tcPr>
            <w:tcW w:type="dxa" w:w="187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Primary DB</w:t>
            </w:r>
          </w:p>
        </w:tc>
        <w:tc>
          <w:tcPr>
            <w:tcW w:type="dxa" w:w="288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Supabase PostgreSQL</w:t>
            </w:r>
          </w:p>
        </w:tc>
        <w:tc>
          <w:tcPr>
            <w:tcW w:type="dxa" w:w="489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Relational provenance model + JSONB flexibility + auth/storage speed.</w:t>
            </w:r>
          </w:p>
        </w:tc>
      </w:tr>
      <w:tr>
        <w:trPr>
          <w:cantSplit/>
        </w:trPr>
        <w:tc>
          <w:tcPr>
            <w:tcW w:type="dxa" w:w="187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Raw evidence storage</w:t>
            </w:r>
          </w:p>
        </w:tc>
        <w:tc>
          <w:tcPr>
            <w:tcW w:type="dxa" w:w="288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Supabase Storage / object storage</w:t>
            </w:r>
          </w:p>
        </w:tc>
        <w:tc>
          <w:tcPr>
            <w:tcW w:type="dxa" w:w="489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Keep raw HTML/text/snapshots out of relational hot path.</w:t>
            </w:r>
          </w:p>
        </w:tc>
      </w:tr>
      <w:tr>
        <w:trPr>
          <w:cantSplit/>
        </w:trPr>
        <w:tc>
          <w:tcPr>
            <w:tcW w:type="dxa" w:w="187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Static acquisition</w:t>
            </w:r>
          </w:p>
        </w:tc>
        <w:tc>
          <w:tcPr>
            <w:tcW w:type="dxa" w:w="288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httpx + Trafilatura/Crawl4AI</w:t>
            </w:r>
          </w:p>
        </w:tc>
        <w:tc>
          <w:tcPr>
            <w:tcW w:type="dxa" w:w="489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Cheap deterministic collection first.</w:t>
            </w:r>
          </w:p>
        </w:tc>
      </w:tr>
      <w:tr>
        <w:trPr>
          <w:cantSplit/>
        </w:trPr>
        <w:tc>
          <w:tcPr>
            <w:tcW w:type="dxa" w:w="187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Browser fallback</w:t>
            </w:r>
          </w:p>
        </w:tc>
        <w:tc>
          <w:tcPr>
            <w:tcW w:type="dxa" w:w="288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Playwright</w:t>
            </w:r>
          </w:p>
        </w:tc>
        <w:tc>
          <w:tcPr>
            <w:tcW w:type="dxa" w:w="489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Scripted, testable interaction for 1-2 known JS-heavy sources.</w:t>
            </w:r>
          </w:p>
        </w:tc>
      </w:tr>
      <w:tr>
        <w:trPr>
          <w:cantSplit/>
        </w:trPr>
        <w:tc>
          <w:tcPr>
            <w:tcW w:type="dxa" w:w="187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Validation</w:t>
            </w:r>
          </w:p>
        </w:tc>
        <w:tc>
          <w:tcPr>
            <w:tcW w:type="dxa" w:w="288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Pydantic + custom rules (+ Pandera if batch validation is needed)</w:t>
            </w:r>
          </w:p>
        </w:tc>
        <w:tc>
          <w:tcPr>
            <w:tcW w:type="dxa" w:w="489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Typed contracts without unnecessary platform overhead.</w:t>
            </w:r>
          </w:p>
        </w:tc>
      </w:tr>
      <w:tr>
        <w:trPr>
          <w:cantSplit/>
        </w:trPr>
        <w:tc>
          <w:tcPr>
            <w:tcW w:type="dxa" w:w="187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Entity resolution</w:t>
            </w:r>
          </w:p>
        </w:tc>
        <w:tc>
          <w:tcPr>
            <w:tcW w:type="dxa" w:w="288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RapidFuzz + blocking + embeddings</w:t>
            </w:r>
          </w:p>
        </w:tc>
        <w:tc>
          <w:tcPr>
            <w:tcW w:type="dxa" w:w="489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Hackathon-sized, explainable and fast; Splink is production evolution.</w:t>
            </w:r>
          </w:p>
        </w:tc>
      </w:tr>
      <w:tr>
        <w:trPr>
          <w:cantSplit/>
        </w:trPr>
        <w:tc>
          <w:tcPr>
            <w:tcW w:type="dxa" w:w="187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Vector layer</w:t>
            </w:r>
          </w:p>
        </w:tc>
        <w:tc>
          <w:tcPr>
            <w:tcW w:type="dxa" w:w="288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Qdrant</w:t>
            </w:r>
          </w:p>
        </w:tc>
        <w:tc>
          <w:tcPr>
            <w:tcW w:type="dxa" w:w="489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Semantic dataset search + entity candidate retrieval with metadata filters.</w:t>
            </w:r>
          </w:p>
        </w:tc>
      </w:tr>
      <w:tr>
        <w:trPr>
          <w:cantSplit/>
        </w:trPr>
        <w:tc>
          <w:tcPr>
            <w:tcW w:type="dxa" w:w="187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Worker model</w:t>
            </w:r>
          </w:p>
        </w:tc>
        <w:tc>
          <w:tcPr>
            <w:tcW w:type="dxa" w:w="288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Simple DB-backed job queue / background worker</w:t>
            </w:r>
          </w:p>
        </w:tc>
        <w:tc>
          <w:tcPr>
            <w:tcW w:type="dxa" w:w="489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Minimal infrastructure; upgrade to durable orchestration later.</w:t>
            </w:r>
          </w:p>
        </w:tc>
      </w:tr>
      <w:tr>
        <w:trPr>
          <w:cantSplit/>
        </w:trPr>
        <w:tc>
          <w:tcPr>
            <w:tcW w:type="dxa" w:w="187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Incremental mode</w:t>
            </w:r>
          </w:p>
        </w:tc>
        <w:tc>
          <w:tcPr>
            <w:tcW w:type="dxa" w:w="288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Pathway - optional enhancement</w:t>
            </w:r>
          </w:p>
        </w:tc>
        <w:tc>
          <w:tcPr>
            <w:tcW w:type="dxa" w:w="489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Use only if live refresh is demonstrated.</w:t>
            </w:r>
          </w:p>
        </w:tc>
      </w:tr>
      <w:tr>
        <w:trPr>
          <w:cantSplit/>
        </w:trPr>
        <w:tc>
          <w:tcPr>
            <w:tcW w:type="dxa" w:w="187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Downstream automation</w:t>
            </w:r>
          </w:p>
        </w:tc>
        <w:tc>
          <w:tcPr>
            <w:tcW w:type="dxa" w:w="288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n8n - optional edge integration</w:t>
            </w:r>
          </w:p>
        </w:tc>
        <w:tc>
          <w:tcPr>
            <w:tcW w:type="dxa" w:w="489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Webhook/Google Sheets/Slack actions; not the core executor.</w:t>
            </w:r>
          </w:p>
        </w:tc>
      </w:tr>
      <w:tr>
        <w:trPr>
          <w:cantSplit/>
        </w:trPr>
        <w:tc>
          <w:tcPr>
            <w:tcW w:type="dxa" w:w="187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Observability</w:t>
            </w:r>
          </w:p>
        </w:tc>
        <w:tc>
          <w:tcPr>
            <w:tcW w:type="dxa" w:w="288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Structured logs + run/step tables; Sentry optional</w:t>
            </w:r>
          </w:p>
        </w:tc>
        <w:tc>
          <w:tcPr>
            <w:tcW w:type="dxa" w:w="489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Show enough traceability for hackathon without operating a telemetry stack.</w:t>
            </w:r>
          </w:p>
        </w:tc>
      </w:tr>
    </w:tbl>
    <w:p>
      <w:pPr>
        <w:keepLines w:val="0"/>
        <w:widowControl/>
        <w:spacing w:after="0"/>
      </w:pPr>
    </w:p>
    <w:p>
      <w:pPr>
        <w:pStyle w:val="Heading1"/>
        <w:keepLines w:val="0"/>
        <w:widowControl/>
      </w:pPr>
      <w:r>
        <w:t>12. MVP scope and non-goals</w:t>
      </w:r>
    </w:p>
    <w:p>
      <w:pPr>
        <w:pStyle w:val="Heading2"/>
        <w:keepLines w:val="0"/>
        <w:widowControl/>
      </w:pPr>
      <w:r>
        <w:t>12.1 Must ship</w:t>
      </w:r>
    </w:p>
    <w:p>
      <w:pPr>
        <w:pStyle w:val="ListBullet"/>
        <w:keepLines w:val="0"/>
        <w:widowControl/>
        <w:spacing w:after="40"/>
      </w:pPr>
      <w:r>
        <w:rPr>
          <w:rFonts w:ascii="Aptos" w:hAnsi="Aptos"/>
          <w:color w:val="17202A"/>
          <w:sz w:val="20"/>
        </w:rPr>
        <w:t>Natural-language request -&gt; validated RequirementSpec.</w:t>
      </w:r>
    </w:p>
    <w:p>
      <w:pPr>
        <w:pStyle w:val="ListBullet"/>
        <w:keepLines w:val="0"/>
        <w:widowControl/>
        <w:spacing w:after="40"/>
      </w:pPr>
      <w:r>
        <w:rPr>
          <w:rFonts w:ascii="Aptos" w:hAnsi="Aptos"/>
          <w:color w:val="17202A"/>
          <w:sz w:val="20"/>
        </w:rPr>
        <w:t>Editable schema proposal with user_specified vs ai_inferred field labels.</w:t>
      </w:r>
    </w:p>
    <w:p>
      <w:pPr>
        <w:pStyle w:val="ListBullet"/>
        <w:keepLines w:val="0"/>
        <w:widowControl/>
        <w:spacing w:after="40"/>
      </w:pPr>
      <w:r>
        <w:rPr>
          <w:rFonts w:ascii="Aptos" w:hAnsi="Aptos"/>
          <w:color w:val="17202A"/>
          <w:sz w:val="20"/>
        </w:rPr>
        <w:t>Trust Contract editor with evidence, first-party preference, freshness, conflict and budget rules.</w:t>
      </w:r>
    </w:p>
    <w:p>
      <w:pPr>
        <w:pStyle w:val="ListBullet"/>
        <w:keepLines w:val="0"/>
        <w:widowControl/>
        <w:spacing w:after="40"/>
      </w:pPr>
      <w:r>
        <w:rPr>
          <w:rFonts w:ascii="Aptos" w:hAnsi="Aptos"/>
          <w:color w:val="17202A"/>
          <w:sz w:val="20"/>
        </w:rPr>
        <w:t>Constrained PlanDAG generation + validator + plan preview.</w:t>
      </w:r>
    </w:p>
    <w:p>
      <w:pPr>
        <w:pStyle w:val="ListBullet"/>
        <w:keepLines w:val="0"/>
        <w:widowControl/>
        <w:spacing w:after="40"/>
      </w:pPr>
      <w:r>
        <w:rPr>
          <w:rFonts w:ascii="Aptos" w:hAnsi="Aptos"/>
          <w:color w:val="17202A"/>
          <w:sz w:val="20"/>
        </w:rPr>
        <w:t>Search/discovery + at least two real public source patterns + static collection.</w:t>
      </w:r>
    </w:p>
    <w:p>
      <w:pPr>
        <w:pStyle w:val="ListBullet"/>
        <w:keepLines w:val="0"/>
        <w:widowControl/>
        <w:spacing w:after="40"/>
      </w:pPr>
      <w:r>
        <w:rPr>
          <w:rFonts w:ascii="Aptos" w:hAnsi="Aptos"/>
          <w:color w:val="17202A"/>
          <w:sz w:val="20"/>
        </w:rPr>
        <w:t>Deterministic-first extraction with schema-constrained LLM fallback.</w:t>
      </w:r>
    </w:p>
    <w:p>
      <w:pPr>
        <w:pStyle w:val="ListBullet"/>
        <w:keepLines w:val="0"/>
        <w:widowControl/>
        <w:spacing w:after="40"/>
      </w:pPr>
      <w:r>
        <w:rPr>
          <w:rFonts w:ascii="Aptos" w:hAnsi="Aptos"/>
          <w:color w:val="17202A"/>
          <w:sz w:val="20"/>
        </w:rPr>
        <w:t>Normalization and typed validation.</w:t>
      </w:r>
    </w:p>
    <w:p>
      <w:pPr>
        <w:pStyle w:val="ListBullet"/>
        <w:keepLines w:val="0"/>
        <w:widowControl/>
        <w:spacing w:after="40"/>
      </w:pPr>
      <w:r>
        <w:rPr>
          <w:rFonts w:ascii="Aptos" w:hAnsi="Aptos"/>
          <w:color w:val="17202A"/>
          <w:sz w:val="20"/>
        </w:rPr>
        <w:t>Basic entity resolution: blocking + RapidFuzz + domain checks.</w:t>
      </w:r>
    </w:p>
    <w:p>
      <w:pPr>
        <w:pStyle w:val="ListBullet"/>
        <w:keepLines w:val="0"/>
        <w:widowControl/>
        <w:spacing w:after="40"/>
      </w:pPr>
      <w:r>
        <w:rPr>
          <w:rFonts w:ascii="Aptos" w:hAnsi="Aptos"/>
          <w:color w:val="17202A"/>
          <w:sz w:val="20"/>
        </w:rPr>
        <w:t>Claim ledger and field-level evidence drawer.</w:t>
      </w:r>
    </w:p>
    <w:p>
      <w:pPr>
        <w:pStyle w:val="ListBullet"/>
        <w:keepLines w:val="0"/>
        <w:widowControl/>
        <w:spacing w:after="40"/>
      </w:pPr>
      <w:r>
        <w:rPr>
          <w:rFonts w:ascii="Aptos" w:hAnsi="Aptos"/>
          <w:color w:val="17202A"/>
          <w:sz w:val="20"/>
        </w:rPr>
        <w:t>Conflict detection and categorical trust status.</w:t>
      </w:r>
    </w:p>
    <w:p>
      <w:pPr>
        <w:pStyle w:val="ListBullet"/>
        <w:keepLines w:val="0"/>
        <w:widowControl/>
        <w:spacing w:after="40"/>
      </w:pPr>
      <w:r>
        <w:rPr>
          <w:rFonts w:ascii="Aptos" w:hAnsi="Aptos"/>
          <w:color w:val="17202A"/>
          <w:sz w:val="20"/>
        </w:rPr>
        <w:t>Persistent PostgreSQL dataset with search/filter/sort.</w:t>
      </w:r>
    </w:p>
    <w:p>
      <w:pPr>
        <w:pStyle w:val="ListBullet"/>
        <w:keepLines w:val="0"/>
        <w:widowControl/>
        <w:spacing w:after="40"/>
      </w:pPr>
      <w:r>
        <w:rPr>
          <w:rFonts w:ascii="Aptos" w:hAnsi="Aptos"/>
          <w:color w:val="17202A"/>
          <w:sz w:val="20"/>
        </w:rPr>
        <w:t>CSV/JSON export with evidence companion.</w:t>
      </w:r>
    </w:p>
    <w:p>
      <w:pPr>
        <w:pStyle w:val="ListBullet"/>
        <w:keepLines w:val="0"/>
        <w:widowControl/>
        <w:spacing w:after="40"/>
      </w:pPr>
      <w:r>
        <w:rPr>
          <w:rFonts w:ascii="Aptos" w:hAnsi="Aptos"/>
          <w:color w:val="17202A"/>
          <w:sz w:val="20"/>
        </w:rPr>
        <w:t>Workflow/run history and visible queued/running/partial/completed/failed states.</w:t>
      </w:r>
    </w:p>
    <w:p>
      <w:pPr>
        <w:pStyle w:val="Heading2"/>
        <w:keepLines w:val="0"/>
        <w:widowControl/>
      </w:pPr>
      <w:r>
        <w:t>12.2 Strong differentiators after core stability</w:t>
      </w:r>
    </w:p>
    <w:p>
      <w:pPr>
        <w:pStyle w:val="ListBullet"/>
        <w:keepLines w:val="0"/>
        <w:widowControl/>
        <w:spacing w:after="40"/>
      </w:pPr>
      <w:r>
        <w:rPr>
          <w:rFonts w:ascii="Aptos" w:hAnsi="Aptos"/>
          <w:color w:val="17202A"/>
          <w:sz w:val="20"/>
        </w:rPr>
        <w:t>Qdrant semantic search and entity candidate generation.</w:t>
      </w:r>
    </w:p>
    <w:p>
      <w:pPr>
        <w:pStyle w:val="ListBullet"/>
        <w:keepLines w:val="0"/>
        <w:widowControl/>
        <w:spacing w:after="40"/>
      </w:pPr>
      <w:r>
        <w:rPr>
          <w:rFonts w:ascii="Aptos" w:hAnsi="Aptos"/>
          <w:color w:val="17202A"/>
          <w:sz w:val="20"/>
        </w:rPr>
        <w:t>Dataset version diff between two runs.</w:t>
      </w:r>
    </w:p>
    <w:p>
      <w:pPr>
        <w:pStyle w:val="ListBullet"/>
        <w:keepLines w:val="0"/>
        <w:widowControl/>
        <w:spacing w:after="40"/>
      </w:pPr>
      <w:r>
        <w:rPr>
          <w:rFonts w:ascii="Aptos" w:hAnsi="Aptos"/>
          <w:color w:val="17202A"/>
          <w:sz w:val="20"/>
        </w:rPr>
        <w:t>One pre-tested Playwright fallback source.</w:t>
      </w:r>
    </w:p>
    <w:p>
      <w:pPr>
        <w:pStyle w:val="ListBullet"/>
        <w:keepLines w:val="0"/>
        <w:widowControl/>
        <w:spacing w:after="40"/>
      </w:pPr>
      <w:r>
        <w:rPr>
          <w:rFonts w:ascii="Aptos" w:hAnsi="Aptos"/>
          <w:color w:val="17202A"/>
          <w:sz w:val="20"/>
        </w:rPr>
        <w:t>Downstream n8n action on workflow completion or material change.</w:t>
      </w:r>
    </w:p>
    <w:p>
      <w:pPr>
        <w:pStyle w:val="ListBullet"/>
        <w:keepLines w:val="0"/>
        <w:widowControl/>
        <w:spacing w:after="40"/>
      </w:pPr>
      <w:r>
        <w:rPr>
          <w:rFonts w:ascii="Aptos" w:hAnsi="Aptos"/>
          <w:color w:val="17202A"/>
          <w:sz w:val="20"/>
        </w:rPr>
        <w:t>Pathway-backed live/incremental refresh for one controlled source if time permits.</w:t>
      </w:r>
    </w:p>
    <w:p>
      <w:pPr>
        <w:pStyle w:val="ListBullet"/>
        <w:keepLines w:val="0"/>
        <w:widowControl/>
        <w:spacing w:after="40"/>
      </w:pPr>
      <w:r>
        <w:rPr>
          <w:rFonts w:ascii="Aptos" w:hAnsi="Aptos"/>
          <w:color w:val="17202A"/>
          <w:sz w:val="20"/>
        </w:rPr>
        <w:t>Visual evidence snapshot for selected claims.</w:t>
      </w:r>
    </w:p>
    <w:p>
      <w:pPr>
        <w:pStyle w:val="Heading2"/>
        <w:keepLines w:val="0"/>
        <w:widowControl/>
      </w:pPr>
      <w:r>
        <w:t>12.3 Explicit non-goals</w:t>
      </w:r>
    </w:p>
    <w:p>
      <w:pPr>
        <w:pStyle w:val="ListBullet"/>
        <w:keepLines w:val="0"/>
        <w:widowControl/>
        <w:spacing w:after="40"/>
      </w:pPr>
      <w:r>
        <w:rPr>
          <w:rFonts w:ascii="Aptos" w:hAnsi="Aptos"/>
          <w:color w:val="17202A"/>
          <w:sz w:val="20"/>
        </w:rPr>
        <w:t>General-purpose autonomous browser that can navigate any website.</w:t>
      </w:r>
    </w:p>
    <w:p>
      <w:pPr>
        <w:pStyle w:val="ListBullet"/>
        <w:keepLines w:val="0"/>
        <w:widowControl/>
        <w:spacing w:after="40"/>
      </w:pPr>
      <w:r>
        <w:rPr>
          <w:rFonts w:ascii="Aptos" w:hAnsi="Aptos"/>
          <w:color w:val="17202A"/>
          <w:sz w:val="20"/>
        </w:rPr>
        <w:t>CAPTCHA bypassing, paywall bypassing, or access to authenticated sources without user authorization.</w:t>
      </w:r>
    </w:p>
    <w:p>
      <w:pPr>
        <w:pStyle w:val="ListBullet"/>
        <w:keepLines w:val="0"/>
        <w:widowControl/>
        <w:spacing w:after="40"/>
      </w:pPr>
      <w:r>
        <w:rPr>
          <w:rFonts w:ascii="Aptos" w:hAnsi="Aptos"/>
          <w:color w:val="17202A"/>
          <w:sz w:val="20"/>
        </w:rPr>
        <w:t>A multi-agent swarm as the core orchestration model.</w:t>
      </w:r>
    </w:p>
    <w:p>
      <w:pPr>
        <w:pStyle w:val="ListBullet"/>
        <w:keepLines w:val="0"/>
        <w:widowControl/>
        <w:spacing w:after="40"/>
      </w:pPr>
      <w:r>
        <w:rPr>
          <w:rFonts w:ascii="Aptos" w:hAnsi="Aptos"/>
          <w:color w:val="17202A"/>
          <w:sz w:val="20"/>
        </w:rPr>
        <w:t>Training a new foundation model.</w:t>
      </w:r>
    </w:p>
    <w:p>
      <w:pPr>
        <w:pStyle w:val="ListBullet"/>
        <w:keepLines w:val="0"/>
        <w:widowControl/>
        <w:spacing w:after="40"/>
      </w:pPr>
      <w:r>
        <w:rPr>
          <w:rFonts w:ascii="Aptos" w:hAnsi="Aptos"/>
          <w:color w:val="17202A"/>
          <w:sz w:val="20"/>
        </w:rPr>
        <w:t>A learned confidence probability without labeled calibration data.</w:t>
      </w:r>
    </w:p>
    <w:p>
      <w:pPr>
        <w:pStyle w:val="ListBullet"/>
        <w:keepLines w:val="0"/>
        <w:widowControl/>
        <w:spacing w:after="40"/>
      </w:pPr>
      <w:r>
        <w:rPr>
          <w:rFonts w:ascii="Aptos" w:hAnsi="Aptos"/>
          <w:color w:val="17202A"/>
          <w:sz w:val="20"/>
        </w:rPr>
        <w:t>A graph database solely for architectural novelty.</w:t>
      </w:r>
    </w:p>
    <w:p>
      <w:pPr>
        <w:pStyle w:val="ListBullet"/>
        <w:keepLines w:val="0"/>
        <w:widowControl/>
        <w:spacing w:after="40"/>
      </w:pPr>
      <w:r>
        <w:rPr>
          <w:rFonts w:ascii="Aptos" w:hAnsi="Aptos"/>
          <w:color w:val="17202A"/>
          <w:sz w:val="20"/>
        </w:rPr>
        <w:t>Enterprise multi-tenant billing/admin controls during the hackathon.</w:t>
      </w:r>
    </w:p>
    <w:p>
      <w:pPr>
        <w:pStyle w:val="ListBullet"/>
        <w:keepLines w:val="0"/>
        <w:widowControl/>
        <w:spacing w:after="40"/>
      </w:pPr>
      <w:r>
        <w:rPr>
          <w:rFonts w:ascii="Aptos" w:hAnsi="Aptos"/>
          <w:color w:val="17202A"/>
          <w:sz w:val="20"/>
        </w:rPr>
        <w:t>Perfect support for every arbitrary business domain before the demo.</w:t>
      </w:r>
    </w:p>
    <w:p>
      <w:pPr>
        <w:pStyle w:val="Heading1"/>
        <w:keepLines w:val="0"/>
        <w:widowControl/>
      </w:pPr>
      <w:r>
        <w:t>13. UX specification</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1872"/>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6"/>
              </w:rPr>
              <w:t>Screen</w:t>
            </w:r>
          </w:p>
        </w:tc>
        <w:tc>
          <w:tcPr>
            <w:tcW w:type="dxa" w:w="7704"/>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6"/>
              </w:rPr>
              <w:t>Requirements</w:t>
            </w:r>
          </w:p>
        </w:tc>
      </w:tr>
      <w:tr>
        <w:trPr>
          <w:cantSplit/>
        </w:trPr>
        <w:tc>
          <w:tcPr>
            <w:tcW w:type="dxa" w:w="187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S1 - Ask</w:t>
            </w:r>
          </w:p>
        </w:tc>
        <w:tc>
          <w:tcPr>
            <w:tcW w:type="dxa" w:w="770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Large prompt box, sample prompts, “Create dataset” CTA. Keep page minimal.</w:t>
            </w:r>
          </w:p>
        </w:tc>
      </w:tr>
      <w:tr>
        <w:trPr>
          <w:cantSplit/>
        </w:trPr>
        <w:tc>
          <w:tcPr>
            <w:tcW w:type="dxa" w:w="187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S2 - Interpret</w:t>
            </w:r>
          </w:p>
        </w:tc>
        <w:tc>
          <w:tcPr>
            <w:tcW w:type="dxa" w:w="770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Dataset title, entity type, editable columns, filters, date range. AI-inferred fields visually marked.</w:t>
            </w:r>
          </w:p>
        </w:tc>
      </w:tr>
      <w:tr>
        <w:trPr>
          <w:cantSplit/>
        </w:trPr>
        <w:tc>
          <w:tcPr>
            <w:tcW w:type="dxa" w:w="187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S3 - Trust Contract</w:t>
            </w:r>
          </w:p>
        </w:tc>
        <w:tc>
          <w:tcPr>
            <w:tcW w:type="dxa" w:w="770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Evidence source rules, freshness, minimum corroboration, conflict policy, crawl/browser/token budget.</w:t>
            </w:r>
          </w:p>
        </w:tc>
      </w:tr>
      <w:tr>
        <w:trPr>
          <w:cantSplit/>
        </w:trPr>
        <w:tc>
          <w:tcPr>
            <w:tcW w:type="dxa" w:w="187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S4 - Plan Preview</w:t>
            </w:r>
          </w:p>
        </w:tc>
        <w:tc>
          <w:tcPr>
            <w:tcW w:type="dxa" w:w="770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Readable DAG/timeline, expected source types, limits, “Run” button, optional “edit request”.</w:t>
            </w:r>
          </w:p>
        </w:tc>
      </w:tr>
      <w:tr>
        <w:trPr>
          <w:cantSplit/>
        </w:trPr>
        <w:tc>
          <w:tcPr>
            <w:tcW w:type="dxa" w:w="187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S5 - Run Monitor</w:t>
            </w:r>
          </w:p>
        </w:tc>
        <w:tc>
          <w:tcPr>
            <w:tcW w:type="dxa" w:w="770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Step timeline, current source, records discovered, validation failures, dedup count, partial failures.</w:t>
            </w:r>
          </w:p>
        </w:tc>
      </w:tr>
      <w:tr>
        <w:trPr>
          <w:cantSplit/>
        </w:trPr>
        <w:tc>
          <w:tcPr>
            <w:tcW w:type="dxa" w:w="187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S6 - ProofGrid</w:t>
            </w:r>
          </w:p>
        </w:tc>
        <w:tc>
          <w:tcPr>
            <w:tcW w:type="dxa" w:w="770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Spreadsheet-like table, filters, trust badge, source count, conflict icon, evidence icon.</w:t>
            </w:r>
          </w:p>
        </w:tc>
      </w:tr>
      <w:tr>
        <w:trPr>
          <w:cantSplit/>
        </w:trPr>
        <w:tc>
          <w:tcPr>
            <w:tcW w:type="dxa" w:w="187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S7 - Evidence Drawer</w:t>
            </w:r>
          </w:p>
        </w:tc>
        <w:tc>
          <w:tcPr>
            <w:tcW w:type="dxa" w:w="770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Selected field, canonical value, all claims, source snippets, raw value, normalized value, extraction method, timestamp.</w:t>
            </w:r>
          </w:p>
        </w:tc>
      </w:tr>
      <w:tr>
        <w:trPr>
          <w:cantSplit/>
        </w:trPr>
        <w:tc>
          <w:tcPr>
            <w:tcW w:type="dxa" w:w="187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S8 - Conflict Review</w:t>
            </w:r>
          </w:p>
        </w:tc>
        <w:tc>
          <w:tcPr>
            <w:tcW w:type="dxa" w:w="770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Pairs/claims needing review; approve merge, keep separate, choose canonical display value.</w:t>
            </w:r>
          </w:p>
        </w:tc>
      </w:tr>
      <w:tr>
        <w:trPr>
          <w:cantSplit/>
        </w:trPr>
        <w:tc>
          <w:tcPr>
            <w:tcW w:type="dxa" w:w="187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S9 - Version Diff</w:t>
            </w:r>
          </w:p>
        </w:tc>
        <w:tc>
          <w:tcPr>
            <w:tcW w:type="dxa" w:w="770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Added / changed / missing / conflict-changed tabs with before/after values.</w:t>
            </w:r>
          </w:p>
        </w:tc>
      </w:tr>
      <w:tr>
        <w:trPr>
          <w:cantSplit/>
        </w:trPr>
        <w:tc>
          <w:tcPr>
            <w:tcW w:type="dxa" w:w="187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S10 - Export / Actions</w:t>
            </w:r>
          </w:p>
        </w:tc>
        <w:tc>
          <w:tcPr>
            <w:tcW w:type="dxa" w:w="770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CSV, JSON, evidence bundle; optional webhook/n8n action.</w:t>
            </w:r>
          </w:p>
        </w:tc>
      </w:tr>
    </w:tbl>
    <w:p>
      <w:pPr>
        <w:keepLines w:val="0"/>
        <w:widowControl/>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AF2F8"/>
            <w:tcBorders>
              <w:top w:val="single" w:sz="8" w:color="265D97"/>
              <w:left w:val="single" w:sz="8" w:color="265D97"/>
              <w:bottom w:val="single" w:sz="8" w:color="265D97"/>
              <w:right w:val="single" w:sz="8" w:color="265D97"/>
            </w:tcBorders>
          </w:tcPr>
          <w:p>
            <w:pPr>
              <w:spacing w:after="40"/>
            </w:pPr>
            <w:r>
              <w:rPr>
                <w:rFonts w:ascii="Aptos" w:hAnsi="Aptos"/>
                <w:b/>
                <w:color w:val="1E3A5F"/>
                <w:sz w:val="22"/>
              </w:rPr>
              <w:t>The best live-demo moment</w:t>
            </w:r>
          </w:p>
          <w:p>
            <w:pPr>
              <w:spacing w:after="0"/>
            </w:pPr>
            <w:r>
              <w:rPr>
                <w:rFonts w:ascii="Aptos" w:hAnsi="Aptos"/>
                <w:color w:val="17202A"/>
                <w:sz w:val="19"/>
              </w:rPr>
              <w:t>Intentionally show one row where two credible sources disagree. Click the field, open the Evidence Drawer, show both claims, explain why the system refuses to hide the disagreement, and then show the Trust Contract rule that caused the CONFLICTING status. This makes the product’s philosophy visible in seconds.</w:t>
            </w:r>
          </w:p>
        </w:tc>
      </w:tr>
    </w:tbl>
    <w:p>
      <w:pPr>
        <w:keepLines w:val="0"/>
        <w:widowControl/>
        <w:spacing w:after="0"/>
      </w:pPr>
    </w:p>
    <w:p>
      <w:pPr>
        <w:pStyle w:val="Heading1"/>
        <w:keepLines w:val="0"/>
        <w:widowControl/>
      </w:pPr>
      <w:r>
        <w:t>14. Quality, security and compliance</w:t>
      </w:r>
    </w:p>
    <w:p>
      <w:pPr>
        <w:pStyle w:val="Heading2"/>
        <w:keepLines w:val="0"/>
        <w:widowControl/>
      </w:pPr>
      <w:r>
        <w:t>14.1 Prompt-injection boundary</w:t>
      </w:r>
    </w:p>
    <w:p>
      <w:pPr>
        <w:pStyle w:val="ListBullet"/>
        <w:keepLines w:val="0"/>
        <w:widowControl/>
        <w:spacing w:after="40"/>
      </w:pPr>
      <w:r>
        <w:rPr>
          <w:rFonts w:ascii="Aptos" w:hAnsi="Aptos"/>
          <w:color w:val="17202A"/>
          <w:sz w:val="20"/>
        </w:rPr>
        <w:t>Raw web content is untrusted data, never instructions.</w:t>
      </w:r>
    </w:p>
    <w:p>
      <w:pPr>
        <w:pStyle w:val="ListBullet"/>
        <w:keepLines w:val="0"/>
        <w:widowControl/>
        <w:spacing w:after="40"/>
      </w:pPr>
      <w:r>
        <w:rPr>
          <w:rFonts w:ascii="Aptos" w:hAnsi="Aptos"/>
          <w:color w:val="17202A"/>
          <w:sz w:val="20"/>
        </w:rPr>
        <w:t>The extraction model receives a fixed schema and has no DB-write, browser-navigation, secret, or outbound-action tools.</w:t>
      </w:r>
    </w:p>
    <w:p>
      <w:pPr>
        <w:pStyle w:val="ListBullet"/>
        <w:keepLines w:val="0"/>
        <w:widowControl/>
        <w:spacing w:after="40"/>
      </w:pPr>
      <w:r>
        <w:rPr>
          <w:rFonts w:ascii="Aptos" w:hAnsi="Aptos"/>
          <w:color w:val="17202A"/>
          <w:sz w:val="20"/>
        </w:rPr>
        <w:t>The planner never consumes raw untrusted page text when deciding privileged actions.</w:t>
      </w:r>
    </w:p>
    <w:p>
      <w:pPr>
        <w:pStyle w:val="ListBullet"/>
        <w:keepLines w:val="0"/>
        <w:widowControl/>
        <w:spacing w:after="40"/>
      </w:pPr>
      <w:r>
        <w:rPr>
          <w:rFonts w:ascii="Aptos" w:hAnsi="Aptos"/>
          <w:color w:val="17202A"/>
          <w:sz w:val="20"/>
        </w:rPr>
        <w:t>All model outputs pass deterministic validation before persistence.</w:t>
      </w:r>
    </w:p>
    <w:p>
      <w:pPr>
        <w:pStyle w:val="ListBullet"/>
        <w:keepLines w:val="0"/>
        <w:widowControl/>
        <w:spacing w:after="40"/>
      </w:pPr>
      <w:r>
        <w:rPr>
          <w:rFonts w:ascii="Aptos" w:hAnsi="Aptos"/>
          <w:color w:val="17202A"/>
          <w:sz w:val="20"/>
        </w:rPr>
        <w:t>URL/domain/IP checks prevent unsafe fetch targets and obvious SSRF patterns.</w:t>
      </w:r>
    </w:p>
    <w:p>
      <w:pPr>
        <w:pStyle w:val="Heading2"/>
        <w:keepLines w:val="0"/>
        <w:widowControl/>
      </w:pPr>
      <w:r>
        <w:t>14.2 Web collection policy</w:t>
      </w:r>
    </w:p>
    <w:p>
      <w:pPr>
        <w:pStyle w:val="ListBullet"/>
        <w:keepLines w:val="0"/>
        <w:widowControl/>
        <w:spacing w:after="40"/>
      </w:pPr>
      <w:r>
        <w:rPr>
          <w:rFonts w:ascii="Aptos" w:hAnsi="Aptos"/>
          <w:color w:val="17202A"/>
          <w:sz w:val="20"/>
        </w:rPr>
        <w:t>Prefer official APIs, feeds and structured data when available.</w:t>
      </w:r>
    </w:p>
    <w:p>
      <w:pPr>
        <w:pStyle w:val="ListBullet"/>
        <w:keepLines w:val="0"/>
        <w:widowControl/>
        <w:spacing w:after="40"/>
      </w:pPr>
      <w:r>
        <w:rPr>
          <w:rFonts w:ascii="Aptos" w:hAnsi="Aptos"/>
          <w:color w:val="17202A"/>
          <w:sz w:val="20"/>
        </w:rPr>
        <w:t>Operate on public/permitted sources for the hackathon demonstration.</w:t>
      </w:r>
    </w:p>
    <w:p>
      <w:pPr>
        <w:pStyle w:val="ListBullet"/>
        <w:keepLines w:val="0"/>
        <w:widowControl/>
        <w:spacing w:after="40"/>
      </w:pPr>
      <w:r>
        <w:rPr>
          <w:rFonts w:ascii="Aptos" w:hAnsi="Aptos"/>
          <w:color w:val="17202A"/>
          <w:sz w:val="20"/>
        </w:rPr>
        <w:t>Respect robots.txt and source-specific rate limits as a product policy signal.</w:t>
      </w:r>
    </w:p>
    <w:p>
      <w:pPr>
        <w:pStyle w:val="ListBullet"/>
        <w:keepLines w:val="0"/>
        <w:widowControl/>
        <w:spacing w:after="40"/>
      </w:pPr>
      <w:r>
        <w:rPr>
          <w:rFonts w:ascii="Aptos" w:hAnsi="Aptos"/>
          <w:color w:val="17202A"/>
          <w:sz w:val="20"/>
        </w:rPr>
        <w:t>Do not attempt CAPTCHA circumvention or paywall/authentication bypass.</w:t>
      </w:r>
    </w:p>
    <w:p>
      <w:pPr>
        <w:pStyle w:val="ListBullet"/>
        <w:keepLines w:val="0"/>
        <w:widowControl/>
        <w:spacing w:after="40"/>
      </w:pPr>
      <w:r>
        <w:rPr>
          <w:rFonts w:ascii="Aptos" w:hAnsi="Aptos"/>
          <w:color w:val="17202A"/>
          <w:sz w:val="20"/>
        </w:rPr>
        <w:t>Avoid sensitive personal-data use cases in the MVP; focus on public business/entity information.</w:t>
      </w:r>
    </w:p>
    <w:p>
      <w:pPr>
        <w:pStyle w:val="ListBullet"/>
        <w:keepLines w:val="0"/>
        <w:widowControl/>
        <w:spacing w:after="40"/>
      </w:pPr>
      <w:r>
        <w:rPr>
          <w:rFonts w:ascii="Aptos" w:hAnsi="Aptos"/>
          <w:color w:val="17202A"/>
          <w:sz w:val="20"/>
        </w:rPr>
        <w:t>Keep source URL, retrieval timestamp and evidence metadata for auditability.</w:t>
      </w:r>
    </w:p>
    <w:p>
      <w:pPr>
        <w:pStyle w:val="Heading2"/>
        <w:keepLines w:val="0"/>
        <w:widowControl/>
      </w:pPr>
      <w:r>
        <w:t>14.3 Reliability behavior</w:t>
      </w:r>
    </w:p>
    <w:p>
      <w:pPr>
        <w:pStyle w:val="ListBullet"/>
        <w:keepLines w:val="0"/>
        <w:widowControl/>
        <w:spacing w:after="40"/>
      </w:pPr>
      <w:r>
        <w:rPr>
          <w:rFonts w:ascii="Aptos" w:hAnsi="Aptos"/>
          <w:color w:val="17202A"/>
          <w:sz w:val="20"/>
        </w:rPr>
        <w:t>Idempotent run IDs prevent duplicate inserts on retry.</w:t>
      </w:r>
    </w:p>
    <w:p>
      <w:pPr>
        <w:pStyle w:val="ListBullet"/>
        <w:keepLines w:val="0"/>
        <w:widowControl/>
        <w:spacing w:after="40"/>
      </w:pPr>
      <w:r>
        <w:rPr>
          <w:rFonts w:ascii="Aptos" w:hAnsi="Aptos"/>
          <w:color w:val="17202A"/>
          <w:sz w:val="20"/>
        </w:rPr>
        <w:t>Each step has timeout/retry limits and can fail independently.</w:t>
      </w:r>
    </w:p>
    <w:p>
      <w:pPr>
        <w:pStyle w:val="ListBullet"/>
        <w:keepLines w:val="0"/>
        <w:widowControl/>
        <w:spacing w:after="40"/>
      </w:pPr>
      <w:r>
        <w:rPr>
          <w:rFonts w:ascii="Aptos" w:hAnsi="Aptos"/>
          <w:color w:val="17202A"/>
          <w:sz w:val="20"/>
        </w:rPr>
        <w:t>A workflow may finish PARTIAL if useful data exists but one or more source steps failed.</w:t>
      </w:r>
    </w:p>
    <w:p>
      <w:pPr>
        <w:pStyle w:val="ListBullet"/>
        <w:keepLines w:val="0"/>
        <w:widowControl/>
        <w:spacing w:after="40"/>
      </w:pPr>
      <w:r>
        <w:rPr>
          <w:rFonts w:ascii="Aptos" w:hAnsi="Aptos"/>
          <w:color w:val="17202A"/>
          <w:sz w:val="20"/>
        </w:rPr>
        <w:t>No final row should appear as VERIFIED if its Trust Contract requirements are unmet.</w:t>
      </w:r>
    </w:p>
    <w:p>
      <w:pPr>
        <w:pStyle w:val="ListBullet"/>
        <w:keepLines w:val="0"/>
        <w:widowControl/>
        <w:spacing w:after="40"/>
      </w:pPr>
      <w:r>
        <w:rPr>
          <w:rFonts w:ascii="Aptos" w:hAnsi="Aptos"/>
          <w:color w:val="17202A"/>
          <w:sz w:val="20"/>
        </w:rPr>
        <w:t>Unknown or missing values remain null with reason codes; never invent a placeholder fact.</w:t>
      </w:r>
    </w:p>
    <w:p>
      <w:pPr>
        <w:pStyle w:val="Heading1"/>
        <w:keepLines w:val="0"/>
        <w:widowControl/>
      </w:pPr>
      <w:r>
        <w:t>15. Success metrics and evaluation</w:t>
      </w:r>
    </w:p>
    <w:tbl>
      <w:tblPr>
        <w:tblW w:type="auto" w:w="0"/>
        <w:jc w:val="center"/>
        <w:tblLayout w:type="autofit"/>
        <w:tblLook w:firstColumn="1" w:firstRow="1" w:lastColumn="0" w:lastRow="0" w:noHBand="0" w:noVBand="1" w:val="04A0"/>
      </w:tblPr>
      <w:tblGrid>
        <w:gridCol w:w="3427"/>
        <w:gridCol w:w="3427"/>
        <w:gridCol w:w="3427"/>
      </w:tblGrid>
      <w:tr>
        <w:trPr>
          <w:tblHeader w:val="true"/>
          <w:cantSplit/>
        </w:trPr>
        <w:tc>
          <w:tcPr>
            <w:tcW w:type="dxa" w:w="2088"/>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5"/>
              </w:rPr>
              <w:t>Metric</w:t>
            </w:r>
          </w:p>
        </w:tc>
        <w:tc>
          <w:tcPr>
            <w:tcW w:type="dxa" w:w="5112"/>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5"/>
              </w:rPr>
              <w:t>Definition</w:t>
            </w:r>
          </w:p>
        </w:tc>
        <w:tc>
          <w:tcPr>
            <w:tcW w:type="dxa" w:w="2376"/>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5"/>
              </w:rPr>
              <w:t>MVP target</w:t>
            </w:r>
          </w:p>
        </w:tc>
      </w:tr>
      <w:tr>
        <w:trPr>
          <w:cantSplit/>
        </w:trPr>
        <w:tc>
          <w:tcPr>
            <w:tcW w:type="dxa" w:w="208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Schema validity</w:t>
            </w:r>
          </w:p>
        </w:tc>
        <w:tc>
          <w:tcPr>
            <w:tcW w:type="dxa" w:w="511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 planner/parser outputs passing typed validation on first or corrected attempt</w:t>
            </w:r>
          </w:p>
        </w:tc>
        <w:tc>
          <w:tcPr>
            <w:tcW w:type="dxa" w:w="237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&gt;= 95% on curated test prompts</w:t>
            </w:r>
          </w:p>
        </w:tc>
      </w:tr>
      <w:tr>
        <w:trPr>
          <w:cantSplit/>
        </w:trPr>
        <w:tc>
          <w:tcPr>
            <w:tcW w:type="dxa" w:w="208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Extraction precision</w:t>
            </w:r>
          </w:p>
        </w:tc>
        <w:tc>
          <w:tcPr>
            <w:tcW w:type="dxa" w:w="511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Correct extracted fields / extracted fields on labeled demo corpus</w:t>
            </w:r>
          </w:p>
        </w:tc>
        <w:tc>
          <w:tcPr>
            <w:tcW w:type="dxa" w:w="237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&gt;= 90% for MVP fields</w:t>
            </w:r>
          </w:p>
        </w:tc>
      </w:tr>
      <w:tr>
        <w:trPr>
          <w:cantSplit/>
        </w:trPr>
        <w:tc>
          <w:tcPr>
            <w:tcW w:type="dxa" w:w="208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Extraction recall</w:t>
            </w:r>
          </w:p>
        </w:tc>
        <w:tc>
          <w:tcPr>
            <w:tcW w:type="dxa" w:w="511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Correct extracted fields / available labeled fields</w:t>
            </w:r>
          </w:p>
        </w:tc>
        <w:tc>
          <w:tcPr>
            <w:tcW w:type="dxa" w:w="237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&gt;= 85% for MVP fields</w:t>
            </w:r>
          </w:p>
        </w:tc>
      </w:tr>
      <w:tr>
        <w:trPr>
          <w:cantSplit/>
        </w:trPr>
        <w:tc>
          <w:tcPr>
            <w:tcW w:type="dxa" w:w="208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Provenance coverage</w:t>
            </w:r>
          </w:p>
        </w:tc>
        <w:tc>
          <w:tcPr>
            <w:tcW w:type="dxa" w:w="511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Important non-null fields with at least one valid claim/source</w:t>
            </w:r>
          </w:p>
        </w:tc>
        <w:tc>
          <w:tcPr>
            <w:tcW w:type="dxa" w:w="237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100%</w:t>
            </w:r>
          </w:p>
        </w:tc>
      </w:tr>
      <w:tr>
        <w:trPr>
          <w:cantSplit/>
        </w:trPr>
        <w:tc>
          <w:tcPr>
            <w:tcW w:type="dxa" w:w="208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Conflict surfacing recall</w:t>
            </w:r>
          </w:p>
        </w:tc>
        <w:tc>
          <w:tcPr>
            <w:tcW w:type="dxa" w:w="511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Known conflicting examples visibly flagged</w:t>
            </w:r>
          </w:p>
        </w:tc>
        <w:tc>
          <w:tcPr>
            <w:tcW w:type="dxa" w:w="237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100% on curated conflict set</w:t>
            </w:r>
          </w:p>
        </w:tc>
      </w:tr>
      <w:tr>
        <w:trPr>
          <w:cantSplit/>
        </w:trPr>
        <w:tc>
          <w:tcPr>
            <w:tcW w:type="dxa" w:w="208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Entity dedup precision</w:t>
            </w:r>
          </w:p>
        </w:tc>
        <w:tc>
          <w:tcPr>
            <w:tcW w:type="dxa" w:w="511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Auto-merged pairs that are truly same entity</w:t>
            </w:r>
          </w:p>
        </w:tc>
        <w:tc>
          <w:tcPr>
            <w:tcW w:type="dxa" w:w="237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Prioritize precision; &gt;= 95% on curated demo set</w:t>
            </w:r>
          </w:p>
        </w:tc>
      </w:tr>
      <w:tr>
        <w:trPr>
          <w:cantSplit/>
        </w:trPr>
        <w:tc>
          <w:tcPr>
            <w:tcW w:type="dxa" w:w="208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Entity dedup recall</w:t>
            </w:r>
          </w:p>
        </w:tc>
        <w:tc>
          <w:tcPr>
            <w:tcW w:type="dxa" w:w="511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Duplicate pairs identified or surfaced for review</w:t>
            </w:r>
          </w:p>
        </w:tc>
        <w:tc>
          <w:tcPr>
            <w:tcW w:type="dxa" w:w="237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&gt;= 85% on curated demo set</w:t>
            </w:r>
          </w:p>
        </w:tc>
      </w:tr>
      <w:tr>
        <w:trPr>
          <w:cantSplit/>
        </w:trPr>
        <w:tc>
          <w:tcPr>
            <w:tcW w:type="dxa" w:w="208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Workflow completion</w:t>
            </w:r>
          </w:p>
        </w:tc>
        <w:tc>
          <w:tcPr>
            <w:tcW w:type="dxa" w:w="511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Runs that finish COMPLETE or useful PARTIAL</w:t>
            </w:r>
          </w:p>
        </w:tc>
        <w:tc>
          <w:tcPr>
            <w:tcW w:type="dxa" w:w="237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&gt;= 95% in pre-demo rehearsal</w:t>
            </w:r>
          </w:p>
        </w:tc>
      </w:tr>
      <w:tr>
        <w:trPr>
          <w:cantSplit/>
        </w:trPr>
        <w:tc>
          <w:tcPr>
            <w:tcW w:type="dxa" w:w="208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Time to first usable records</w:t>
            </w:r>
          </w:p>
        </w:tc>
        <w:tc>
          <w:tcPr>
            <w:tcW w:type="dxa" w:w="511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Request confirmation -&gt; first rows visible</w:t>
            </w:r>
          </w:p>
        </w:tc>
        <w:tc>
          <w:tcPr>
            <w:tcW w:type="dxa" w:w="237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Target &lt; 90 s in controlled demo</w:t>
            </w:r>
          </w:p>
        </w:tc>
      </w:tr>
      <w:tr>
        <w:trPr>
          <w:cantSplit/>
        </w:trPr>
        <w:tc>
          <w:tcPr>
            <w:tcW w:type="dxa" w:w="208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Evidence inspection latency</w:t>
            </w:r>
          </w:p>
        </w:tc>
        <w:tc>
          <w:tcPr>
            <w:tcW w:type="dxa" w:w="511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Open evidence drawer for a result</w:t>
            </w:r>
          </w:p>
        </w:tc>
        <w:tc>
          <w:tcPr>
            <w:tcW w:type="dxa" w:w="237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&lt; 500 ms from stored data</w:t>
            </w:r>
          </w:p>
        </w:tc>
      </w:tr>
      <w:tr>
        <w:trPr>
          <w:cantSplit/>
        </w:trPr>
        <w:tc>
          <w:tcPr>
            <w:tcW w:type="dxa" w:w="208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Export integrity</w:t>
            </w:r>
          </w:p>
        </w:tc>
        <w:tc>
          <w:tcPr>
            <w:tcW w:type="dxa" w:w="511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Exported rows with stable IDs and evidence references</w:t>
            </w:r>
          </w:p>
        </w:tc>
        <w:tc>
          <w:tcPr>
            <w:tcW w:type="dxa" w:w="2376"/>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100%</w:t>
            </w:r>
          </w:p>
        </w:tc>
      </w:tr>
      <w:tr>
        <w:trPr>
          <w:cantSplit/>
        </w:trPr>
        <w:tc>
          <w:tcPr>
            <w:tcW w:type="dxa" w:w="208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Demo repeatability</w:t>
            </w:r>
          </w:p>
        </w:tc>
        <w:tc>
          <w:tcPr>
            <w:tcW w:type="dxa" w:w="511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Successful end-to-end rehearsals from clean start</w:t>
            </w:r>
          </w:p>
        </w:tc>
        <w:tc>
          <w:tcPr>
            <w:tcW w:type="dxa" w:w="2376"/>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At least 10 consecutive runs before submission</w:t>
            </w:r>
          </w:p>
        </w:tc>
      </w:tr>
    </w:tbl>
    <w:p>
      <w:pPr>
        <w:keepLines w:val="0"/>
        <w:widowControl/>
        <w:spacing w:after="0"/>
      </w:pPr>
    </w:p>
    <w:p>
      <w:pPr>
        <w:keepLines w:val="0"/>
        <w:widowControl/>
        <w:spacing w:after="120" w:line="259" w:lineRule="auto"/>
      </w:pPr>
      <w:r>
        <w:rPr>
          <w:rFonts w:ascii="Aptos" w:hAnsi="Aptos"/>
          <w:color w:val="17202A"/>
          <w:sz w:val="20"/>
        </w:rPr>
        <w:t>Targets above are product acceptance goals, not claims about current performance. The team should build a small labeled evaluation corpus for the startup-funding vertical so metrics shown to judges are measured rather than invented.</w:t>
      </w:r>
    </w:p>
    <w:p>
      <w:pPr>
        <w:pStyle w:val="Heading1"/>
        <w:keepLines w:val="0"/>
        <w:widowControl/>
      </w:pPr>
      <w:r>
        <w:t>16. Hackathon demo narrative</w:t>
      </w:r>
    </w:p>
    <w:p>
      <w:pPr>
        <w:keepLines w:val="0"/>
        <w:widowControl/>
        <w:spacing w:after="120" w:line="259" w:lineRule="auto"/>
      </w:pPr>
      <w:r>
        <w:rPr>
          <w:rFonts w:ascii="Aptos" w:hAnsi="Aptos"/>
          <w:color w:val="17202A"/>
          <w:sz w:val="20"/>
        </w:rPr>
        <w:t>The demo should prove the hard parts visually. Avoid spending most of the pitch on architecture slides. The product should produce the argument.</w:t>
      </w:r>
    </w:p>
    <w:p>
      <w:pPr>
        <w:keepLines w:val="0"/>
        <w:widowControl/>
        <w:spacing w:after="40"/>
        <w:ind w:left="72" w:hanging="29"/>
      </w:pPr>
      <w:r>
        <w:rPr>
          <w:rFonts w:ascii="Aptos" w:hAnsi="Aptos"/>
          <w:color w:val="17202A"/>
          <w:sz w:val="20"/>
        </w:rPr>
        <w:t xml:space="preserve">1. </w:t>
      </w:r>
      <w:r>
        <w:rPr>
          <w:rFonts w:ascii="Aptos" w:hAnsi="Aptos"/>
          <w:color w:val="17202A"/>
          <w:sz w:val="20"/>
        </w:rPr>
        <w:t>Enter: “Find Indian AI startups that raised more than $1M in the last 12 months. Include company, founders, headquarters, funding amount, investors, date and evidence.”</w:t>
      </w:r>
    </w:p>
    <w:p>
      <w:pPr>
        <w:keepLines w:val="0"/>
        <w:widowControl/>
        <w:spacing w:after="40"/>
        <w:ind w:left="72" w:hanging="29"/>
      </w:pPr>
      <w:r>
        <w:rPr>
          <w:rFonts w:ascii="Aptos" w:hAnsi="Aptos"/>
          <w:color w:val="17202A"/>
          <w:sz w:val="20"/>
        </w:rPr>
        <w:t xml:space="preserve">2. </w:t>
      </w:r>
      <w:r>
        <w:rPr>
          <w:rFonts w:ascii="Aptos" w:hAnsi="Aptos"/>
          <w:color w:val="17202A"/>
          <w:sz w:val="20"/>
        </w:rPr>
        <w:t>Show the interpreted schema. Delete one AI-inferred field to demonstrate human control.</w:t>
      </w:r>
    </w:p>
    <w:p>
      <w:pPr>
        <w:keepLines w:val="0"/>
        <w:widowControl/>
        <w:spacing w:after="40"/>
        <w:ind w:left="72" w:hanging="29"/>
      </w:pPr>
      <w:r>
        <w:rPr>
          <w:rFonts w:ascii="Aptos" w:hAnsi="Aptos"/>
          <w:color w:val="17202A"/>
          <w:sz w:val="20"/>
        </w:rPr>
        <w:t xml:space="preserve">3. </w:t>
      </w:r>
      <w:r>
        <w:rPr>
          <w:rFonts w:ascii="Aptos" w:hAnsi="Aptos"/>
          <w:color w:val="17202A"/>
          <w:sz w:val="20"/>
        </w:rPr>
        <w:t>Open the Trust Contract and point out: first-party preference, evidence requirement, conflict preservation and budget cap.</w:t>
      </w:r>
    </w:p>
    <w:p>
      <w:pPr>
        <w:keepLines w:val="0"/>
        <w:widowControl/>
        <w:spacing w:after="40"/>
        <w:ind w:left="72" w:hanging="29"/>
      </w:pPr>
      <w:r>
        <w:rPr>
          <w:rFonts w:ascii="Aptos" w:hAnsi="Aptos"/>
          <w:color w:val="17202A"/>
          <w:sz w:val="20"/>
        </w:rPr>
        <w:t xml:space="preserve">4. </w:t>
      </w:r>
      <w:r>
        <w:rPr>
          <w:rFonts w:ascii="Aptos" w:hAnsi="Aptos"/>
          <w:color w:val="17202A"/>
          <w:sz w:val="20"/>
        </w:rPr>
        <w:t>Show the generated workflow plan. Explain that the LLM planned it, but deterministic code executes it.</w:t>
      </w:r>
    </w:p>
    <w:p>
      <w:pPr>
        <w:keepLines w:val="0"/>
        <w:widowControl/>
        <w:spacing w:after="40"/>
        <w:ind w:left="72" w:hanging="29"/>
      </w:pPr>
      <w:r>
        <w:rPr>
          <w:rFonts w:ascii="Aptos" w:hAnsi="Aptos"/>
          <w:color w:val="17202A"/>
          <w:sz w:val="20"/>
        </w:rPr>
        <w:t xml:space="preserve">5. </w:t>
      </w:r>
      <w:r>
        <w:rPr>
          <w:rFonts w:ascii="Aptos" w:hAnsi="Aptos"/>
          <w:color w:val="17202A"/>
          <w:sz w:val="20"/>
        </w:rPr>
        <w:t>Run. The monitor shows discovery, fetch, extract, validate, resolve, store. One source may fail without killing the run.</w:t>
      </w:r>
    </w:p>
    <w:p>
      <w:pPr>
        <w:keepLines w:val="0"/>
        <w:widowControl/>
        <w:spacing w:after="40"/>
        <w:ind w:left="72" w:hanging="29"/>
      </w:pPr>
      <w:r>
        <w:rPr>
          <w:rFonts w:ascii="Aptos" w:hAnsi="Aptos"/>
          <w:color w:val="17202A"/>
          <w:sz w:val="20"/>
        </w:rPr>
        <w:t xml:space="preserve">6. </w:t>
      </w:r>
      <w:r>
        <w:rPr>
          <w:rFonts w:ascii="Aptos" w:hAnsi="Aptos"/>
          <w:color w:val="17202A"/>
          <w:sz w:val="20"/>
        </w:rPr>
        <w:t>Open ProofGrid. Filter to VERIFIED/SUPPORTED results.</w:t>
      </w:r>
    </w:p>
    <w:p>
      <w:pPr>
        <w:keepLines w:val="0"/>
        <w:widowControl/>
        <w:spacing w:after="40"/>
        <w:ind w:left="72" w:hanging="29"/>
      </w:pPr>
      <w:r>
        <w:rPr>
          <w:rFonts w:ascii="Aptos" w:hAnsi="Aptos"/>
          <w:color w:val="17202A"/>
          <w:sz w:val="20"/>
        </w:rPr>
        <w:t xml:space="preserve">7. </w:t>
      </w:r>
      <w:r>
        <w:rPr>
          <w:rFonts w:ascii="Aptos" w:hAnsi="Aptos"/>
          <w:color w:val="17202A"/>
          <w:sz w:val="20"/>
        </w:rPr>
        <w:t>Click a funding field. Show source evidence, raw value, normalized value and retrieval time.</w:t>
      </w:r>
    </w:p>
    <w:p>
      <w:pPr>
        <w:keepLines w:val="0"/>
        <w:widowControl/>
        <w:spacing w:after="40"/>
        <w:ind w:left="72" w:hanging="29"/>
      </w:pPr>
      <w:r>
        <w:rPr>
          <w:rFonts w:ascii="Aptos" w:hAnsi="Aptos"/>
          <w:color w:val="17202A"/>
          <w:sz w:val="20"/>
        </w:rPr>
        <w:t xml:space="preserve">8. </w:t>
      </w:r>
      <w:r>
        <w:rPr>
          <w:rFonts w:ascii="Aptos" w:hAnsi="Aptos"/>
          <w:color w:val="17202A"/>
          <w:sz w:val="20"/>
        </w:rPr>
        <w:t>Open a deliberately conflicting example. Show two claims and the CONFLICTING badge - the product does not hide uncertainty.</w:t>
      </w:r>
    </w:p>
    <w:p>
      <w:pPr>
        <w:keepLines w:val="0"/>
        <w:widowControl/>
        <w:spacing w:after="40"/>
        <w:ind w:left="72" w:hanging="29"/>
      </w:pPr>
      <w:r>
        <w:rPr>
          <w:rFonts w:ascii="Aptos" w:hAnsi="Aptos"/>
          <w:color w:val="17202A"/>
          <w:sz w:val="20"/>
        </w:rPr>
        <w:t xml:space="preserve">9. </w:t>
      </w:r>
      <w:r>
        <w:rPr>
          <w:rFonts w:ascii="Aptos" w:hAnsi="Aptos"/>
          <w:color w:val="17202A"/>
          <w:sz w:val="20"/>
        </w:rPr>
        <w:t>Search semantically using Qdrant: “companies building healthcare AI infrastructure” or a similar query that is not a literal keyword match.</w:t>
      </w:r>
    </w:p>
    <w:p>
      <w:pPr>
        <w:keepLines w:val="0"/>
        <w:widowControl/>
        <w:spacing w:after="40"/>
        <w:ind w:left="72" w:hanging="29"/>
      </w:pPr>
      <w:r>
        <w:rPr>
          <w:rFonts w:ascii="Aptos" w:hAnsi="Aptos"/>
          <w:color w:val="17202A"/>
          <w:sz w:val="20"/>
        </w:rPr>
        <w:t xml:space="preserve">10. </w:t>
      </w:r>
      <w:r>
        <w:rPr>
          <w:rFonts w:ascii="Aptos" w:hAnsi="Aptos"/>
          <w:color w:val="17202A"/>
          <w:sz w:val="20"/>
        </w:rPr>
        <w:t>Export CSV + evidence bundle. If implemented, show a previous version diff or trigger an n8n downstream action.</w:t>
      </w:r>
    </w:p>
    <w:tbl>
      <w:tblPr>
        <w:tblW w:type="auto" w:w="0"/>
        <w:jc w:val="center"/>
        <w:tblLayout w:type="autofit"/>
        <w:tblLook w:firstColumn="1" w:firstRow="1" w:lastColumn="0" w:lastRow="0" w:noHBand="0" w:noVBand="1" w:val="04A0"/>
      </w:tblPr>
      <w:tblGrid>
        <w:gridCol w:w="10282"/>
      </w:tblGrid>
      <w:tr>
        <w:trPr>
          <w:cantSplit/>
        </w:trPr>
        <w:tc>
          <w:tcPr>
            <w:tcW w:type="dxa" w:w="10282"/>
            <w:shd w:fill="EAF2F8"/>
            <w:tcBorders>
              <w:top w:val="single" w:sz="8" w:color="265D97"/>
              <w:left w:val="single" w:sz="8" w:color="265D97"/>
              <w:bottom w:val="single" w:sz="8" w:color="265D97"/>
              <w:right w:val="single" w:sz="8" w:color="265D97"/>
            </w:tcBorders>
          </w:tcPr>
          <w:p>
            <w:pPr>
              <w:spacing w:after="40"/>
            </w:pPr>
            <w:r>
              <w:rPr>
                <w:rFonts w:ascii="Aptos" w:hAnsi="Aptos"/>
                <w:b/>
                <w:color w:val="1E3A5F"/>
                <w:sz w:val="22"/>
              </w:rPr>
              <w:t>Pitch line</w:t>
            </w:r>
          </w:p>
          <w:p>
            <w:pPr>
              <w:spacing w:after="0"/>
            </w:pPr>
            <w:r>
              <w:rPr>
                <w:rFonts w:ascii="Aptos" w:hAnsi="Aptos"/>
                <w:color w:val="17202A"/>
                <w:sz w:val="19"/>
              </w:rPr>
              <w:t>“Research assistants give you an answer. Scrapers give you rows. ProofGrid gives you a living dataset with receipts.”</w:t>
            </w:r>
          </w:p>
        </w:tc>
      </w:tr>
    </w:tbl>
    <w:p>
      <w:pPr>
        <w:keepLines w:val="0"/>
        <w:widowControl/>
        <w:spacing w:after="0"/>
      </w:pPr>
    </w:p>
    <w:p>
      <w:pPr>
        <w:pStyle w:val="Heading1"/>
        <w:keepLines w:val="0"/>
        <w:widowControl/>
      </w:pPr>
      <w:r>
        <w:t>17. Risks and mitigations</w:t>
      </w:r>
    </w:p>
    <w:tbl>
      <w:tblPr>
        <w:tblW w:type="auto" w:w="0"/>
        <w:jc w:val="center"/>
        <w:tblLayout w:type="autofit"/>
        <w:tblLook w:firstColumn="1" w:firstRow="1" w:lastColumn="0" w:lastRow="0" w:noHBand="0" w:noVBand="1" w:val="04A0"/>
      </w:tblPr>
      <w:tblGrid>
        <w:gridCol w:w="3427"/>
        <w:gridCol w:w="3427"/>
        <w:gridCol w:w="3427"/>
      </w:tblGrid>
      <w:tr>
        <w:trPr>
          <w:tblHeader w:val="true"/>
          <w:cantSplit/>
        </w:trPr>
        <w:tc>
          <w:tcPr>
            <w:tcW w:type="dxa" w:w="2088"/>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5"/>
              </w:rPr>
              <w:t>Risk</w:t>
            </w:r>
          </w:p>
        </w:tc>
        <w:tc>
          <w:tcPr>
            <w:tcW w:type="dxa" w:w="2880"/>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5"/>
              </w:rPr>
              <w:t>Failure mode</w:t>
            </w:r>
          </w:p>
        </w:tc>
        <w:tc>
          <w:tcPr>
            <w:tcW w:type="dxa" w:w="4608"/>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5"/>
              </w:rPr>
              <w:t>Mitigation</w:t>
            </w:r>
          </w:p>
        </w:tc>
      </w:tr>
      <w:tr>
        <w:trPr>
          <w:cantSplit/>
        </w:trPr>
        <w:tc>
          <w:tcPr>
            <w:tcW w:type="dxa" w:w="208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Live web source changes</w:t>
            </w:r>
          </w:p>
        </w:tc>
        <w:tc>
          <w:tcPr>
            <w:tcW w:type="dxa" w:w="288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Selectors/pages change before demo.</w:t>
            </w:r>
          </w:p>
        </w:tc>
        <w:tc>
          <w:tcPr>
            <w:tcW w:type="dxa" w:w="460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Prefer structured/static sources; cache only as transparent fallback; pre-test source set; keep LLM extraction fallback.</w:t>
            </w:r>
          </w:p>
        </w:tc>
      </w:tr>
      <w:tr>
        <w:trPr>
          <w:cantSplit/>
        </w:trPr>
        <w:tc>
          <w:tcPr>
            <w:tcW w:type="dxa" w:w="208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Search API latency/rate limit</w:t>
            </w:r>
          </w:p>
        </w:tc>
        <w:tc>
          <w:tcPr>
            <w:tcW w:type="dxa" w:w="288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Discovery stalls.</w:t>
            </w:r>
          </w:p>
        </w:tc>
        <w:tc>
          <w:tcPr>
            <w:tcW w:type="dxa" w:w="460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Have 2 discovery adapters or a safe pre-seeded URL set for showcase mode, clearly labeled.</w:t>
            </w:r>
          </w:p>
        </w:tc>
      </w:tr>
      <w:tr>
        <w:trPr>
          <w:cantSplit/>
        </w:trPr>
        <w:tc>
          <w:tcPr>
            <w:tcW w:type="dxa" w:w="208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LLM malformed output</w:t>
            </w:r>
          </w:p>
        </w:tc>
        <w:tc>
          <w:tcPr>
            <w:tcW w:type="dxa" w:w="288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Parser/planner/extractor returns invalid structure.</w:t>
            </w:r>
          </w:p>
        </w:tc>
        <w:tc>
          <w:tcPr>
            <w:tcW w:type="dxa" w:w="460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Native structured outputs + Pydantic validation + bounded retry.</w:t>
            </w:r>
          </w:p>
        </w:tc>
      </w:tr>
      <w:tr>
        <w:trPr>
          <w:cantSplit/>
        </w:trPr>
        <w:tc>
          <w:tcPr>
            <w:tcW w:type="dxa" w:w="208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False entity merge</w:t>
            </w:r>
          </w:p>
        </w:tc>
        <w:tc>
          <w:tcPr>
            <w:tcW w:type="dxa" w:w="288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Two distinct startups merged.</w:t>
            </w:r>
          </w:p>
        </w:tc>
        <w:tc>
          <w:tcPr>
            <w:tcW w:type="dxa" w:w="460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Conservative threshold; domain/cross-field checks; review band; optimize auto-merge precision.</w:t>
            </w:r>
          </w:p>
        </w:tc>
      </w:tr>
      <w:tr>
        <w:trPr>
          <w:cantSplit/>
        </w:trPr>
        <w:tc>
          <w:tcPr>
            <w:tcW w:type="dxa" w:w="208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Source conflict overwhelms UI</w:t>
            </w:r>
          </w:p>
        </w:tc>
        <w:tc>
          <w:tcPr>
            <w:tcW w:type="dxa" w:w="288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Many disagreements create noise.</w:t>
            </w:r>
          </w:p>
        </w:tc>
        <w:tc>
          <w:tcPr>
            <w:tcW w:type="dxa" w:w="460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Only flag material differences; group low-impact formatting differences after normalization.</w:t>
            </w:r>
          </w:p>
        </w:tc>
      </w:tr>
      <w:tr>
        <w:trPr>
          <w:cantSplit/>
        </w:trPr>
        <w:tc>
          <w:tcPr>
            <w:tcW w:type="dxa" w:w="208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Browser fallback fails</w:t>
            </w:r>
          </w:p>
        </w:tc>
        <w:tc>
          <w:tcPr>
            <w:tcW w:type="dxa" w:w="288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Dynamic site popup/layout blocks automation.</w:t>
            </w:r>
          </w:p>
        </w:tc>
        <w:tc>
          <w:tcPr>
            <w:tcW w:type="dxa" w:w="460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Keep browser as non-critical fallback; do not make it part of the golden path.</w:t>
            </w:r>
          </w:p>
        </w:tc>
      </w:tr>
      <w:tr>
        <w:trPr>
          <w:cantSplit/>
        </w:trPr>
        <w:tc>
          <w:tcPr>
            <w:tcW w:type="dxa" w:w="208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Sponsor over-integration</w:t>
            </w:r>
          </w:p>
        </w:tc>
        <w:tc>
          <w:tcPr>
            <w:tcW w:type="dxa" w:w="288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Too many tools make system fragile.</w:t>
            </w:r>
          </w:p>
        </w:tc>
        <w:tc>
          <w:tcPr>
            <w:tcW w:type="dxa" w:w="460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Core works without sponsors; add Qdrant first, n8n/Pathway only after vertical slice.</w:t>
            </w:r>
          </w:p>
        </w:tc>
      </w:tr>
      <w:tr>
        <w:trPr>
          <w:cantSplit/>
        </w:trPr>
        <w:tc>
          <w:tcPr>
            <w:tcW w:type="dxa" w:w="208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Legal/privacy challenge from judges</w:t>
            </w:r>
          </w:p>
        </w:tc>
        <w:tc>
          <w:tcPr>
            <w:tcW w:type="dxa" w:w="288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Scraping framing creates concern.</w:t>
            </w:r>
          </w:p>
        </w:tc>
        <w:tc>
          <w:tcPr>
            <w:tcW w:type="dxa" w:w="460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Use “permitted public sources”; show policy gating, no CAPTCHA bypass, no sensitive-person data demo.</w:t>
            </w:r>
          </w:p>
        </w:tc>
      </w:tr>
      <w:tr>
        <w:trPr>
          <w:cantSplit/>
        </w:trPr>
        <w:tc>
          <w:tcPr>
            <w:tcW w:type="dxa" w:w="208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No calibration for confidence</w:t>
            </w:r>
          </w:p>
        </w:tc>
        <w:tc>
          <w:tcPr>
            <w:tcW w:type="dxa" w:w="2880"/>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Percent score appears made up.</w:t>
            </w:r>
          </w:p>
        </w:tc>
        <w:tc>
          <w:tcPr>
            <w:tcW w:type="dxa" w:w="4608"/>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Use categorical trust status and evidence signals.</w:t>
            </w:r>
          </w:p>
        </w:tc>
      </w:tr>
      <w:tr>
        <w:trPr>
          <w:cantSplit/>
        </w:trPr>
        <w:tc>
          <w:tcPr>
            <w:tcW w:type="dxa" w:w="208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Demo time too long</w:t>
            </w:r>
          </w:p>
        </w:tc>
        <w:tc>
          <w:tcPr>
            <w:tcW w:type="dxa" w:w="2880"/>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Collection takes several minutes.</w:t>
            </w:r>
          </w:p>
        </w:tc>
        <w:tc>
          <w:tcPr>
            <w:tcW w:type="dxa" w:w="4608"/>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5"/>
              </w:rPr>
              <w:t>Stream first rows, cap source/page budget, use small query limit, maintain transparent rehearsal/showcase fallback.</w:t>
            </w:r>
          </w:p>
        </w:tc>
      </w:tr>
    </w:tbl>
    <w:p>
      <w:pPr>
        <w:keepLines w:val="0"/>
        <w:widowControl/>
        <w:spacing w:after="0"/>
      </w:pPr>
    </w:p>
    <w:p>
      <w:pPr>
        <w:pStyle w:val="Heading1"/>
        <w:keepLines w:val="0"/>
        <w:widowControl/>
      </w:pPr>
      <w:r>
        <w:t>18. Roadmap</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2304"/>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6"/>
              </w:rPr>
              <w:t>Phase</w:t>
            </w:r>
          </w:p>
        </w:tc>
        <w:tc>
          <w:tcPr>
            <w:tcW w:type="dxa" w:w="7272"/>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6"/>
              </w:rPr>
              <w:t>Outcome</w:t>
            </w:r>
          </w:p>
        </w:tc>
      </w:tr>
      <w:tr>
        <w:trPr>
          <w:cantSplit/>
        </w:trPr>
        <w:tc>
          <w:tcPr>
            <w:tcW w:type="dxa" w:w="230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Phase 0 - Golden vertical</w:t>
            </w:r>
          </w:p>
        </w:tc>
        <w:tc>
          <w:tcPr>
            <w:tcW w:type="dxa" w:w="727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Funding intelligence; typed spec; static sources; claim ledger; evidence UI; dedup; export.</w:t>
            </w:r>
          </w:p>
        </w:tc>
      </w:tr>
      <w:tr>
        <w:trPr>
          <w:cantSplit/>
        </w:trPr>
        <w:tc>
          <w:tcPr>
            <w:tcW w:type="dxa" w:w="230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Phase 1 - Trust depth</w:t>
            </w:r>
          </w:p>
        </w:tc>
        <w:tc>
          <w:tcPr>
            <w:tcW w:type="dxa" w:w="727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Conflict engine, evidence statuses, Qdrant semantic retrieval, version diff.</w:t>
            </w:r>
          </w:p>
        </w:tc>
      </w:tr>
      <w:tr>
        <w:trPr>
          <w:cantSplit/>
        </w:trPr>
        <w:tc>
          <w:tcPr>
            <w:tcW w:type="dxa" w:w="230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Phase 2 - Living intelligence</w:t>
            </w:r>
          </w:p>
        </w:tc>
        <w:tc>
          <w:tcPr>
            <w:tcW w:type="dxa" w:w="727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Scheduled refresh, Pathway incremental sources, notifications and n8n integrations.</w:t>
            </w:r>
          </w:p>
        </w:tc>
      </w:tr>
      <w:tr>
        <w:trPr>
          <w:cantSplit/>
        </w:trPr>
        <w:tc>
          <w:tcPr>
            <w:tcW w:type="dxa" w:w="230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Phase 3 - Connector ecosystem</w:t>
            </w:r>
          </w:p>
        </w:tc>
        <w:tc>
          <w:tcPr>
            <w:tcW w:type="dxa" w:w="727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Jobs, tenders, sponsorships, suppliers; per-domain adapters; customer-defined source policies.</w:t>
            </w:r>
          </w:p>
        </w:tc>
      </w:tr>
      <w:tr>
        <w:trPr>
          <w:cantSplit/>
        </w:trPr>
        <w:tc>
          <w:tcPr>
            <w:tcW w:type="dxa" w:w="230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Phase 4 - Production hardening</w:t>
            </w:r>
          </w:p>
        </w:tc>
        <w:tc>
          <w:tcPr>
            <w:tcW w:type="dxa" w:w="727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Durable orchestration (e.g. Temporal), horizontal workers, advanced lineage, calibrated quality models, enterprise auth.</w:t>
            </w:r>
          </w:p>
        </w:tc>
      </w:tr>
      <w:tr>
        <w:trPr>
          <w:cantSplit/>
        </w:trPr>
        <w:tc>
          <w:tcPr>
            <w:tcW w:type="dxa" w:w="230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Phase 5 - Collaborative intelligence</w:t>
            </w:r>
          </w:p>
        </w:tc>
        <w:tc>
          <w:tcPr>
            <w:tcW w:type="dxa" w:w="727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Shared datasets, comments/review queues, approvals, reusable Trust Contract templates, API/SDK.</w:t>
            </w:r>
          </w:p>
        </w:tc>
      </w:tr>
    </w:tbl>
    <w:p>
      <w:pPr>
        <w:keepLines w:val="0"/>
        <w:widowControl/>
        <w:spacing w:after="0"/>
      </w:pPr>
    </w:p>
    <w:p>
      <w:pPr>
        <w:pStyle w:val="Heading1"/>
        <w:keepLines w:val="0"/>
        <w:widowControl/>
      </w:pPr>
      <w:r>
        <w:t>19. Acceptance criteria</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1152"/>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6"/>
              </w:rPr>
              <w:t>ID</w:t>
            </w:r>
          </w:p>
        </w:tc>
        <w:tc>
          <w:tcPr>
            <w:tcW w:type="dxa" w:w="8424"/>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6"/>
              </w:rPr>
              <w:t>Acceptance criterion</w:t>
            </w:r>
          </w:p>
        </w:tc>
      </w:tr>
      <w:tr>
        <w:trPr>
          <w:cantSplit/>
        </w:trPr>
        <w:tc>
          <w:tcPr>
            <w:tcW w:type="dxa" w:w="115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AC-01</w:t>
            </w:r>
          </w:p>
        </w:tc>
        <w:tc>
          <w:tcPr>
            <w:tcW w:type="dxa" w:w="842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Given the demo prompt, the parser produces a valid RequirementSpec with all required constraints and fields.</w:t>
            </w:r>
          </w:p>
        </w:tc>
      </w:tr>
      <w:tr>
        <w:trPr>
          <w:cantSplit/>
        </w:trPr>
        <w:tc>
          <w:tcPr>
            <w:tcW w:type="dxa" w:w="115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AC-02</w:t>
            </w:r>
          </w:p>
        </w:tc>
        <w:tc>
          <w:tcPr>
            <w:tcW w:type="dxa" w:w="842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User can edit schema before execution and the stored schema records which fields were user vs AI inferred.</w:t>
            </w:r>
          </w:p>
        </w:tc>
      </w:tr>
      <w:tr>
        <w:trPr>
          <w:cantSplit/>
        </w:trPr>
        <w:tc>
          <w:tcPr>
            <w:tcW w:type="dxa" w:w="115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AC-03</w:t>
            </w:r>
          </w:p>
        </w:tc>
        <w:tc>
          <w:tcPr>
            <w:tcW w:type="dxa" w:w="842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User can review/edit a Trust Contract before run.</w:t>
            </w:r>
          </w:p>
        </w:tc>
      </w:tr>
      <w:tr>
        <w:trPr>
          <w:cantSplit/>
        </w:trPr>
        <w:tc>
          <w:tcPr>
            <w:tcW w:type="dxa" w:w="115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AC-04</w:t>
            </w:r>
          </w:p>
        </w:tc>
        <w:tc>
          <w:tcPr>
            <w:tcW w:type="dxa" w:w="842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Planner output is restricted to known operators and invalid/over-budget plans are blocked before execution.</w:t>
            </w:r>
          </w:p>
        </w:tc>
      </w:tr>
      <w:tr>
        <w:trPr>
          <w:cantSplit/>
        </w:trPr>
        <w:tc>
          <w:tcPr>
            <w:tcW w:type="dxa" w:w="115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AC-05</w:t>
            </w:r>
          </w:p>
        </w:tc>
        <w:tc>
          <w:tcPr>
            <w:tcW w:type="dxa" w:w="842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At least two real public source patterns are collected end-to-end without manual data entry.</w:t>
            </w:r>
          </w:p>
        </w:tc>
      </w:tr>
      <w:tr>
        <w:trPr>
          <w:cantSplit/>
        </w:trPr>
        <w:tc>
          <w:tcPr>
            <w:tcW w:type="dxa" w:w="115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AC-06</w:t>
            </w:r>
          </w:p>
        </w:tc>
        <w:tc>
          <w:tcPr>
            <w:tcW w:type="dxa" w:w="842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Every displayed important non-null field has at least one claim with source URL and evidence metadata.</w:t>
            </w:r>
          </w:p>
        </w:tc>
      </w:tr>
      <w:tr>
        <w:trPr>
          <w:cantSplit/>
        </w:trPr>
        <w:tc>
          <w:tcPr>
            <w:tcW w:type="dxa" w:w="115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AC-07</w:t>
            </w:r>
          </w:p>
        </w:tc>
        <w:tc>
          <w:tcPr>
            <w:tcW w:type="dxa" w:w="842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Raw and normalized values are both retained for normalized fields such as money/date/location.</w:t>
            </w:r>
          </w:p>
        </w:tc>
      </w:tr>
      <w:tr>
        <w:trPr>
          <w:cantSplit/>
        </w:trPr>
        <w:tc>
          <w:tcPr>
            <w:tcW w:type="dxa" w:w="115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AC-08</w:t>
            </w:r>
          </w:p>
        </w:tc>
        <w:tc>
          <w:tcPr>
            <w:tcW w:type="dxa" w:w="842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Known duplicate companies are auto-merged or surfaced for review; merge evidence is inspectable.</w:t>
            </w:r>
          </w:p>
        </w:tc>
      </w:tr>
      <w:tr>
        <w:trPr>
          <w:cantSplit/>
        </w:trPr>
        <w:tc>
          <w:tcPr>
            <w:tcW w:type="dxa" w:w="115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AC-09</w:t>
            </w:r>
          </w:p>
        </w:tc>
        <w:tc>
          <w:tcPr>
            <w:tcW w:type="dxa" w:w="842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Known conflicting funding claims remain visible and produce CONFLICTING status rather than being silently overwritten.</w:t>
            </w:r>
          </w:p>
        </w:tc>
      </w:tr>
      <w:tr>
        <w:trPr>
          <w:cantSplit/>
        </w:trPr>
        <w:tc>
          <w:tcPr>
            <w:tcW w:type="dxa" w:w="115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AC-10</w:t>
            </w:r>
          </w:p>
        </w:tc>
        <w:tc>
          <w:tcPr>
            <w:tcW w:type="dxa" w:w="842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Run monitor exposes step states and can finish PARTIAL while preserving successful records.</w:t>
            </w:r>
          </w:p>
        </w:tc>
      </w:tr>
      <w:tr>
        <w:trPr>
          <w:cantSplit/>
        </w:trPr>
        <w:tc>
          <w:tcPr>
            <w:tcW w:type="dxa" w:w="115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AC-11</w:t>
            </w:r>
          </w:p>
        </w:tc>
        <w:tc>
          <w:tcPr>
            <w:tcW w:type="dxa" w:w="842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ProofGrid supports search/filter/sort and evidence drawer interaction.</w:t>
            </w:r>
          </w:p>
        </w:tc>
      </w:tr>
      <w:tr>
        <w:trPr>
          <w:cantSplit/>
        </w:trPr>
        <w:tc>
          <w:tcPr>
            <w:tcW w:type="dxa" w:w="115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AC-12</w:t>
            </w:r>
          </w:p>
        </w:tc>
        <w:tc>
          <w:tcPr>
            <w:tcW w:type="dxa" w:w="842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CSV/JSON export includes stable record IDs; evidence bundle can map exported fields back to claims.</w:t>
            </w:r>
          </w:p>
        </w:tc>
      </w:tr>
      <w:tr>
        <w:trPr>
          <w:cantSplit/>
        </w:trPr>
        <w:tc>
          <w:tcPr>
            <w:tcW w:type="dxa" w:w="115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AC-13</w:t>
            </w:r>
          </w:p>
        </w:tc>
        <w:tc>
          <w:tcPr>
            <w:tcW w:type="dxa" w:w="842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A saved workflow can be reopened; if version diff is implemented, a second run shows at least added/changed records.</w:t>
            </w:r>
          </w:p>
        </w:tc>
      </w:tr>
      <w:tr>
        <w:trPr>
          <w:cantSplit/>
        </w:trPr>
        <w:tc>
          <w:tcPr>
            <w:tcW w:type="dxa" w:w="115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AC-14</w:t>
            </w:r>
          </w:p>
        </w:tc>
        <w:tc>
          <w:tcPr>
            <w:tcW w:type="dxa" w:w="842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No core demo dependency requires an autonomous browser agent or CAPTCHA solving.</w:t>
            </w:r>
          </w:p>
        </w:tc>
      </w:tr>
      <w:tr>
        <w:trPr>
          <w:cantSplit/>
        </w:trPr>
        <w:tc>
          <w:tcPr>
            <w:tcW w:type="dxa" w:w="115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AC-15</w:t>
            </w:r>
          </w:p>
        </w:tc>
        <w:tc>
          <w:tcPr>
            <w:tcW w:type="dxa" w:w="842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Ten clean-start rehearsal runs succeed before the submission/demo freeze.</w:t>
            </w:r>
          </w:p>
        </w:tc>
      </w:tr>
    </w:tbl>
    <w:p>
      <w:pPr>
        <w:keepLines w:val="0"/>
        <w:widowControl/>
        <w:spacing w:after="0"/>
      </w:pPr>
    </w:p>
    <w:p>
      <w:pPr>
        <w:pStyle w:val="Heading1"/>
        <w:keepLines w:val="0"/>
        <w:widowControl/>
      </w:pPr>
      <w:r>
        <w:t>20. Glossary and research basis</w:t>
      </w:r>
    </w:p>
    <w:tbl>
      <w:tblPr>
        <w:tblW w:type="auto" w:w="0"/>
        <w:jc w:val="center"/>
        <w:tblLayout w:type="autofit"/>
        <w:tblLook w:firstColumn="1" w:firstRow="1" w:lastColumn="0" w:lastRow="0" w:noHBand="0" w:noVBand="1" w:val="04A0"/>
      </w:tblPr>
      <w:tblGrid>
        <w:gridCol w:w="5141"/>
        <w:gridCol w:w="5141"/>
      </w:tblGrid>
      <w:tr>
        <w:trPr>
          <w:tblHeader w:val="true"/>
          <w:cantSplit/>
        </w:trPr>
        <w:tc>
          <w:tcPr>
            <w:tcW w:type="dxa" w:w="2304"/>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6"/>
              </w:rPr>
              <w:t>Term</w:t>
            </w:r>
          </w:p>
        </w:tc>
        <w:tc>
          <w:tcPr>
            <w:tcW w:type="dxa" w:w="7272"/>
            <w:shd w:fill="1E3A5F"/>
            <w:vAlign w:val="center"/>
            <w:tcBorders>
              <w:top w:val="single" w:sz="3" w:color="D5D8DC"/>
              <w:left w:val="single" w:sz="3" w:color="D5D8DC"/>
              <w:bottom w:val="single" w:sz="3" w:color="D5D8DC"/>
              <w:right w:val="single" w:sz="3" w:color="D5D8DC"/>
            </w:tcBorders>
          </w:tcPr>
          <w:p>
            <w:pPr>
              <w:jc w:val="left"/>
            </w:pPr>
            <w:r>
              <w:rPr>
                <w:rFonts w:ascii="Aptos" w:hAnsi="Aptos"/>
                <w:b/>
                <w:color w:val="FFFFFF"/>
                <w:sz w:val="16"/>
              </w:rPr>
              <w:t>Meaning</w:t>
            </w:r>
          </w:p>
        </w:tc>
      </w:tr>
      <w:tr>
        <w:trPr>
          <w:cantSplit/>
        </w:trPr>
        <w:tc>
          <w:tcPr>
            <w:tcW w:type="dxa" w:w="230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RequirementSpec</w:t>
            </w:r>
          </w:p>
        </w:tc>
        <w:tc>
          <w:tcPr>
            <w:tcW w:type="dxa" w:w="727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Typed machine representation of the user’s requested entity, fields, filters, scope and refresh rules.</w:t>
            </w:r>
          </w:p>
        </w:tc>
      </w:tr>
      <w:tr>
        <w:trPr>
          <w:cantSplit/>
        </w:trPr>
        <w:tc>
          <w:tcPr>
            <w:tcW w:type="dxa" w:w="230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Trust Contract</w:t>
            </w:r>
          </w:p>
        </w:tc>
        <w:tc>
          <w:tcPr>
            <w:tcW w:type="dxa" w:w="727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User-visible quality/policy rules that define what data is acceptable.</w:t>
            </w:r>
          </w:p>
        </w:tc>
      </w:tr>
      <w:tr>
        <w:trPr>
          <w:cantSplit/>
        </w:trPr>
        <w:tc>
          <w:tcPr>
            <w:tcW w:type="dxa" w:w="230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PlanDAG</w:t>
            </w:r>
          </w:p>
        </w:tc>
        <w:tc>
          <w:tcPr>
            <w:tcW w:type="dxa" w:w="727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Validated directed acyclic graph of executable operators.</w:t>
            </w:r>
          </w:p>
        </w:tc>
      </w:tr>
      <w:tr>
        <w:trPr>
          <w:cantSplit/>
        </w:trPr>
        <w:tc>
          <w:tcPr>
            <w:tcW w:type="dxa" w:w="230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Claim</w:t>
            </w:r>
          </w:p>
        </w:tc>
        <w:tc>
          <w:tcPr>
            <w:tcW w:type="dxa" w:w="727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A source-backed assertion about one entity field.</w:t>
            </w:r>
          </w:p>
        </w:tc>
      </w:tr>
      <w:tr>
        <w:trPr>
          <w:cantSplit/>
        </w:trPr>
        <w:tc>
          <w:tcPr>
            <w:tcW w:type="dxa" w:w="230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ProofCell</w:t>
            </w:r>
          </w:p>
        </w:tc>
        <w:tc>
          <w:tcPr>
            <w:tcW w:type="dxa" w:w="727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UI representation of a canonical field with linked supporting/conflicting claims.</w:t>
            </w:r>
          </w:p>
        </w:tc>
      </w:tr>
      <w:tr>
        <w:trPr>
          <w:cantSplit/>
        </w:trPr>
        <w:tc>
          <w:tcPr>
            <w:tcW w:type="dxa" w:w="230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Canonical value</w:t>
            </w:r>
          </w:p>
        </w:tc>
        <w:tc>
          <w:tcPr>
            <w:tcW w:type="dxa" w:w="727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Selected display value derived from one or more claims.</w:t>
            </w:r>
          </w:p>
        </w:tc>
      </w:tr>
      <w:tr>
        <w:trPr>
          <w:cantSplit/>
        </w:trPr>
        <w:tc>
          <w:tcPr>
            <w:tcW w:type="dxa" w:w="230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Entity resolution</w:t>
            </w:r>
          </w:p>
        </w:tc>
        <w:tc>
          <w:tcPr>
            <w:tcW w:type="dxa" w:w="727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Determining whether records from different sources refer to the same real-world entity.</w:t>
            </w:r>
          </w:p>
        </w:tc>
      </w:tr>
      <w:tr>
        <w:trPr>
          <w:cantSplit/>
        </w:trPr>
        <w:tc>
          <w:tcPr>
            <w:tcW w:type="dxa" w:w="230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Provenance</w:t>
            </w:r>
          </w:p>
        </w:tc>
        <w:tc>
          <w:tcPr>
            <w:tcW w:type="dxa" w:w="727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Information describing where a value came from and how it was transformed.</w:t>
            </w:r>
          </w:p>
        </w:tc>
      </w:tr>
      <w:tr>
        <w:trPr>
          <w:cantSplit/>
        </w:trPr>
        <w:tc>
          <w:tcPr>
            <w:tcW w:type="dxa" w:w="230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Conflict</w:t>
            </w:r>
          </w:p>
        </w:tc>
        <w:tc>
          <w:tcPr>
            <w:tcW w:type="dxa" w:w="727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Two or more valid claims that materially disagree.</w:t>
            </w:r>
          </w:p>
        </w:tc>
      </w:tr>
      <w:tr>
        <w:trPr>
          <w:cantSplit/>
        </w:trPr>
        <w:tc>
          <w:tcPr>
            <w:tcW w:type="dxa" w:w="2304"/>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DatasetVersion</w:t>
            </w:r>
          </w:p>
        </w:tc>
        <w:tc>
          <w:tcPr>
            <w:tcW w:type="dxa" w:w="7272"/>
            <w:shd w:fill="F6F8FA"/>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Output of one workflow run, used for later diff/refresh history.</w:t>
            </w:r>
          </w:p>
        </w:tc>
      </w:tr>
      <w:tr>
        <w:trPr>
          <w:cantSplit/>
        </w:trPr>
        <w:tc>
          <w:tcPr>
            <w:tcW w:type="dxa" w:w="2304"/>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Semantic search</w:t>
            </w:r>
          </w:p>
        </w:tc>
        <w:tc>
          <w:tcPr>
            <w:tcW w:type="dxa" w:w="7272"/>
            <w:vAlign w:val="top"/>
            <w:tcBorders>
              <w:top w:val="single" w:sz="3" w:color="D5D8DC"/>
              <w:left w:val="single" w:sz="3" w:color="D5D8DC"/>
              <w:bottom w:val="single" w:sz="3" w:color="D5D8DC"/>
              <w:right w:val="single" w:sz="3" w:color="D5D8DC"/>
            </w:tcBorders>
          </w:tcPr>
          <w:p>
            <w:pPr>
              <w:spacing w:after="0"/>
            </w:pPr>
            <w:r>
              <w:rPr>
                <w:rFonts w:ascii="Aptos" w:hAnsi="Aptos"/>
                <w:color w:val="17202A"/>
                <w:sz w:val="16"/>
              </w:rPr>
              <w:t>Retrieval by meaning using embeddings, optionally combined with lexical filters.</w:t>
            </w:r>
          </w:p>
        </w:tc>
      </w:tr>
    </w:tbl>
    <w:p>
      <w:pPr>
        <w:keepLines w:val="0"/>
        <w:widowControl/>
        <w:spacing w:after="0"/>
      </w:pPr>
    </w:p>
    <w:p>
      <w:pPr>
        <w:pStyle w:val="Heading2"/>
        <w:keepLines w:val="0"/>
        <w:widowControl/>
      </w:pPr>
      <w:r>
        <w:t>20.1 Research basis</w:t>
      </w:r>
    </w:p>
    <w:p>
      <w:pPr>
        <w:keepLines w:val="0"/>
        <w:widowControl/>
        <w:spacing w:after="120" w:line="259" w:lineRule="auto"/>
      </w:pPr>
      <w:r>
        <w:rPr>
          <w:rFonts w:ascii="Aptos" w:hAnsi="Aptos"/>
          <w:color w:val="17202A"/>
          <w:sz w:val="20"/>
        </w:rPr>
        <w:t>This PRD synthesizes the official one-page problem statement, two uploaded deep-research reports, the third scoping research response supplied in chat, and targeted current verification of market products, Code Cubicle 6.0 partner information, and relevant product documentation. The PRD intentionally converts research into one buildable product direction instead of reproducing every explored alternative.</w:t>
      </w:r>
    </w:p>
    <w:p>
      <w:pPr>
        <w:pStyle w:val="ListBullet"/>
        <w:keepLines w:val="0"/>
        <w:widowControl/>
        <w:spacing w:after="40"/>
      </w:pPr>
      <w:r>
        <w:rPr>
          <w:rFonts w:ascii="Aptos" w:hAnsi="Aptos"/>
          <w:color w:val="17202A"/>
          <w:sz w:val="18"/>
        </w:rPr>
        <w:t>Official problem statement - uploaded “problem_explanation_5wtdx1p941f.pdf”</w:t>
      </w:r>
    </w:p>
    <w:p>
      <w:pPr>
        <w:pStyle w:val="ListBullet"/>
        <w:keepLines w:val="0"/>
        <w:widowControl/>
        <w:spacing w:after="40"/>
      </w:pPr>
      <w:r>
        <w:rPr>
          <w:rFonts w:ascii="Aptos" w:hAnsi="Aptos"/>
          <w:color w:val="17202A"/>
          <w:sz w:val="18"/>
        </w:rPr>
        <w:t>Research report A - “Code Cubicle 6.0 - AI-Powered Data Intelligence Platform: Technical Research &amp; Build Recommendation”</w:t>
      </w:r>
    </w:p>
    <w:p>
      <w:pPr>
        <w:pStyle w:val="ListBullet"/>
        <w:keepLines w:val="0"/>
        <w:widowControl/>
        <w:spacing w:after="40"/>
      </w:pPr>
      <w:r>
        <w:rPr>
          <w:rFonts w:ascii="Aptos" w:hAnsi="Aptos"/>
          <w:color w:val="17202A"/>
          <w:sz w:val="18"/>
        </w:rPr>
        <w:t>Research report B - “AI-Powered Data Intelligence Platform - Architecture &amp; Strategy Research”</w:t>
      </w:r>
    </w:p>
    <w:p>
      <w:pPr>
        <w:pStyle w:val="ListBullet"/>
        <w:keepLines w:val="0"/>
        <w:widowControl/>
        <w:spacing w:after="40"/>
      </w:pPr>
      <w:r>
        <w:rPr>
          <w:rFonts w:ascii="Aptos" w:hAnsi="Aptos"/>
          <w:color w:val="17202A"/>
          <w:sz w:val="18"/>
        </w:rPr>
        <w:t>Geek Room / Code Cubicle 6.0 current partner information</w:t>
      </w:r>
      <w:r>
        <w:t xml:space="preserve"> - </w:t>
      </w:r>
      <w:hyperlink r:id="rId16">
        <w:r>
          <w:rPr>
            <w:color w:val="265D97"/>
            <w:u w:val="single"/>
          </w:rPr>
          <w:t>https://in.linkedin.com/company/geekr00m</w:t>
        </w:r>
      </w:hyperlink>
    </w:p>
    <w:p>
      <w:pPr>
        <w:pStyle w:val="ListBullet"/>
        <w:keepLines w:val="0"/>
        <w:widowControl/>
        <w:spacing w:after="40"/>
      </w:pPr>
      <w:r>
        <w:rPr>
          <w:rFonts w:ascii="Aptos" w:hAnsi="Aptos"/>
          <w:color w:val="17202A"/>
          <w:sz w:val="18"/>
        </w:rPr>
        <w:t>Public Code Cubicle competitor - Vikaas AI / GroundTruth repository</w:t>
      </w:r>
      <w:r>
        <w:t xml:space="preserve"> - </w:t>
      </w:r>
      <w:hyperlink r:id="rId17">
        <w:r>
          <w:rPr>
            <w:color w:val="265D97"/>
            <w:u w:val="single"/>
          </w:rPr>
          <w:t>https://github.com/SKaushikRao/Code_cubicle</w:t>
        </w:r>
      </w:hyperlink>
    </w:p>
    <w:p>
      <w:pPr>
        <w:pStyle w:val="ListBullet"/>
        <w:keepLines w:val="0"/>
        <w:widowControl/>
        <w:spacing w:after="40"/>
      </w:pPr>
      <w:r>
        <w:rPr>
          <w:rFonts w:ascii="Aptos" w:hAnsi="Aptos"/>
          <w:color w:val="17202A"/>
          <w:sz w:val="18"/>
        </w:rPr>
        <w:t>Qdrant hybrid search and filtering documentation</w:t>
      </w:r>
      <w:r>
        <w:t xml:space="preserve"> - </w:t>
      </w:r>
      <w:hyperlink r:id="rId18">
        <w:r>
          <w:rPr>
            <w:color w:val="265D97"/>
            <w:u w:val="single"/>
          </w:rPr>
          <w:t>https://qdrant.tech/documentation/search-tuning/hybrid-search/</w:t>
        </w:r>
      </w:hyperlink>
    </w:p>
    <w:p>
      <w:pPr>
        <w:pStyle w:val="ListBullet"/>
        <w:keepLines w:val="0"/>
        <w:widowControl/>
        <w:spacing w:after="40"/>
      </w:pPr>
      <w:r>
        <w:rPr>
          <w:rFonts w:ascii="Aptos" w:hAnsi="Aptos"/>
          <w:color w:val="17202A"/>
          <w:sz w:val="18"/>
        </w:rPr>
        <w:t>Pathway Live Data Framework documentation</w:t>
      </w:r>
      <w:r>
        <w:t xml:space="preserve"> - </w:t>
      </w:r>
      <w:hyperlink r:id="rId19">
        <w:r>
          <w:rPr>
            <w:color w:val="265D97"/>
            <w:u w:val="single"/>
          </w:rPr>
          <w:t>https://pathway.com/developers/user-guide/introduction/welcome/</w:t>
        </w:r>
      </w:hyperlink>
    </w:p>
    <w:p>
      <w:pPr>
        <w:pStyle w:val="ListBullet"/>
        <w:keepLines w:val="0"/>
        <w:widowControl/>
        <w:spacing w:after="40"/>
      </w:pPr>
      <w:r>
        <w:rPr>
          <w:rFonts w:ascii="Aptos" w:hAnsi="Aptos"/>
          <w:color w:val="17202A"/>
          <w:sz w:val="18"/>
        </w:rPr>
        <w:t>Apify Actors and Dataset documentation</w:t>
      </w:r>
      <w:r>
        <w:t xml:space="preserve"> - </w:t>
      </w:r>
      <w:hyperlink r:id="rId20">
        <w:r>
          <w:rPr>
            <w:color w:val="265D97"/>
            <w:u w:val="single"/>
          </w:rPr>
          <w:t>https://docs.apify.com/actors</w:t>
        </w:r>
      </w:hyperlink>
    </w:p>
    <w:p>
      <w:pPr>
        <w:pStyle w:val="ListBullet"/>
        <w:keepLines w:val="0"/>
        <w:widowControl/>
        <w:spacing w:after="40"/>
      </w:pPr>
      <w:r>
        <w:rPr>
          <w:rFonts w:ascii="Aptos" w:hAnsi="Aptos"/>
          <w:color w:val="17202A"/>
          <w:sz w:val="18"/>
        </w:rPr>
        <w:t>Diffbot Knowledge Graph documentation</w:t>
      </w:r>
      <w:r>
        <w:t xml:space="preserve"> - </w:t>
      </w:r>
      <w:hyperlink r:id="rId21">
        <w:r>
          <w:rPr>
            <w:color w:val="265D97"/>
            <w:u w:val="single"/>
          </w:rPr>
          <w:t>https://www.diffbot.com/products/knowledge-graph</w:t>
        </w:r>
      </w:hyperlink>
    </w:p>
    <w:p>
      <w:pPr>
        <w:pStyle w:val="ListBullet"/>
        <w:keepLines w:val="0"/>
        <w:widowControl/>
        <w:spacing w:after="40"/>
      </w:pPr>
      <w:r>
        <w:rPr>
          <w:rFonts w:ascii="Aptos" w:hAnsi="Aptos"/>
          <w:color w:val="17202A"/>
          <w:sz w:val="18"/>
        </w:rPr>
        <w:t>Clay AI prospect research guide (market context)</w:t>
      </w:r>
      <w:r>
        <w:t xml:space="preserve"> - </w:t>
      </w:r>
      <w:hyperlink r:id="rId22">
        <w:r>
          <w:rPr>
            <w:color w:val="265D97"/>
            <w:u w:val="single"/>
          </w:rPr>
          <w:t>https://www.clay.com/guides/how-to-use-claygent-for-prospect-research</w:t>
        </w:r>
      </w:hyperlink>
    </w:p>
    <w:tbl>
      <w:tblPr>
        <w:tblW w:type="auto" w:w="0"/>
        <w:jc w:val="center"/>
        <w:tblLayout w:type="autofit"/>
        <w:tblLook w:firstColumn="1" w:firstRow="1" w:lastColumn="0" w:lastRow="0" w:noHBand="0" w:noVBand="1" w:val="04A0"/>
      </w:tblPr>
      <w:tblGrid>
        <w:gridCol w:w="10282"/>
      </w:tblGrid>
      <w:tr>
        <w:trPr>
          <w:cantSplit/>
        </w:trPr>
        <w:tc>
          <w:tcPr>
            <w:tcW w:type="dxa" w:w="10282"/>
            <w:shd w:fill="EAF2F8"/>
            <w:tcBorders>
              <w:top w:val="single" w:sz="8" w:color="265D97"/>
              <w:left w:val="single" w:sz="8" w:color="265D97"/>
              <w:bottom w:val="single" w:sz="8" w:color="265D97"/>
              <w:right w:val="single" w:sz="8" w:color="265D97"/>
            </w:tcBorders>
          </w:tcPr>
          <w:p>
            <w:pPr>
              <w:spacing w:after="40"/>
            </w:pPr>
            <w:r>
              <w:rPr>
                <w:rFonts w:ascii="Aptos" w:hAnsi="Aptos"/>
                <w:b/>
                <w:color w:val="1E3A5F"/>
                <w:sz w:val="22"/>
              </w:rPr>
              <w:t>Final product decision</w:t>
            </w:r>
          </w:p>
          <w:p>
            <w:pPr>
              <w:spacing w:after="0"/>
            </w:pPr>
            <w:r>
              <w:rPr>
                <w:rFonts w:ascii="Aptos" w:hAnsi="Aptos"/>
                <w:color w:val="17202A"/>
                <w:sz w:val="19"/>
              </w:rPr>
              <w:t>Build ProofGrid: a natural-language data workflow compiler with a Trust Contract, claim ledger, field-level proof, conflict-aware canonicalization, explainable entity resolution, and living dataset history. For the hackathon, prove the architecture with one deep vertical instead of pretending to support the entire web equally well.</w:t>
            </w:r>
          </w:p>
        </w:tc>
      </w:tr>
    </w:tbl>
    <w:p>
      <w:pPr>
        <w:keepLines w:val="0"/>
        <w:widowControl/>
        <w:spacing w:after="0"/>
      </w:pPr>
    </w:p>
    <w:p>
      <w:pPr>
        <w:keepLines w:val="0"/>
        <w:widowControl/>
        <w:spacing w:before="320"/>
        <w:jc w:val="center"/>
      </w:pPr>
      <w:r>
        <w:rPr>
          <w:rFonts w:ascii="Aptos" w:hAnsi="Aptos"/>
          <w:b/>
          <w:color w:val="5D6D7E"/>
          <w:sz w:val="18"/>
        </w:rPr>
        <w:t>END OF PRD  •  v1.0</w:t>
      </w:r>
    </w:p>
    <w:sectPr w:rsidR="00FC693F" w:rsidRPr="0006063C" w:rsidSect="00034616">
      <w:headerReference w:type="default" r:id="rId9"/>
      <w:footerReference w:type="default" r:id="rId10"/>
      <w:pgSz w:w="12240" w:h="15840"/>
      <w:pgMar w:top="835"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5D6D7E"/>
        <w:sz w:val="16"/>
      </w:rPr>
      <w:t>Code Cubicle 6.0  •  PRD v1.0  •  26 Sep 2026</w:t>
    </w:r>
  </w:p>
  <w:p>
    <w:pPr>
      <w:jc w:val="right"/>
    </w:pPr>
    <w:r>
      <w:rPr>
        <w:rFonts w:ascii="Aptos" w:hAnsi="Aptos"/>
        <w:color w:val="5D6D7E"/>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D6D7E"/>
        <w:sz w:val="16"/>
      </w:rPr>
      <w:t>PROOFGRID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E3A5F"/>
      <w:sz w:val="4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65D97"/>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720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color w:val="1E3A5F"/>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in.linkedin.com/company/geekr00m" TargetMode="External"/><Relationship Id="rId17" Type="http://schemas.openxmlformats.org/officeDocument/2006/relationships/hyperlink" Target="https://github.com/SKaushikRao/Code_cubicle" TargetMode="External"/><Relationship Id="rId18" Type="http://schemas.openxmlformats.org/officeDocument/2006/relationships/hyperlink" Target="https://qdrant.tech/documentation/search-tuning/hybrid-search/" TargetMode="External"/><Relationship Id="rId19" Type="http://schemas.openxmlformats.org/officeDocument/2006/relationships/hyperlink" Target="https://pathway.com/developers/user-guide/introduction/welcome/" TargetMode="External"/><Relationship Id="rId20" Type="http://schemas.openxmlformats.org/officeDocument/2006/relationships/hyperlink" Target="https://docs.apify.com/actors" TargetMode="External"/><Relationship Id="rId21" Type="http://schemas.openxmlformats.org/officeDocument/2006/relationships/hyperlink" Target="https://www.diffbot.com/products/knowledge-graph" TargetMode="External"/><Relationship Id="rId22" Type="http://schemas.openxmlformats.org/officeDocument/2006/relationships/hyperlink" Target="https://www.clay.com/guides/how-to-use-claygent-for-prospect-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