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Analyzing NHANES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Survey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Spring 2020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606: Capstone in Data Science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Literature Review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Research Papers based on NHANES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Association between Sleep Duration and Metabolic Syndrome: The NHANES 2013/2014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Abbas Smiley, David King, and Aurelian Bidulescu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Aimed to assess the association of sleep with metabolic syndrome in the 2013/2014 National Health and Nutrition Examination Survey (NHANES). The sample size included 2737 out of 2013 and 2014 NHANES surveys.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lowest risk of metabolic syndrome was observed in people sleeping 7 hours/night. Similarly, the lowest mean metabolic syndrome severity score was observed in people sleeping 7 hours/night. Short sleep duration was associated with a higher risk of metabolic syndrome and higher scores of metabolic syndrome severity score in men.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Prediction Model for the Peripheral Arterial Disease Using NHANES Data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Yang Zhang, MD, Jinxing Huang, MD, and Ping Wang, MD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Aimed to build models for peripheral arterial disease (PAD) risk prediction and seek to validate these models in 2 different surveys in the US general population (NHANES  1999-2002)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some extent, has moderate usefulness for PAD risk prediction in the general US population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Phthalates and asthma in children and adults: US NHANES 2007–2012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Chinonso Christian Odebeatu, Timothy Taylor, Lora E. Fleming &amp; Nicholas J. Osborne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Aimed to assess the direction and strength of the association between urinary phthalates metabolites and current asthma in children and adults (NHANES) 2007–2012.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 no clear association between exposure to phthalates and current asthma, except for a significant relationship between MBzP metabolites and self-reported asthma in children. As a result, exposure to phthalates and asthma development and/or exacerbations remains controversial, suggesting a need for a well-designed longitudinal study.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