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1572c" w:val="clear"/>
            <w:tcMar>
              <w:top w:type="dxa" w:w="480"/>
              <w:left w:type="dxa" w:w="480"/>
              <w:bottom w:type="dxa" w:w="480"/>
              <w:right w:type="dxa" w:w="480"/>
            </w:tcMar>
          </w:tcPr>
          <w:p>
            <w:pPr>
              <w:spacing w:after="120"/>
              <w:jc w:val="center"/>
            </w:pPr>
            <w:r>
              <w:rPr>
                <w:rFonts w:ascii="Arial" w:cs="Arial" w:eastAsia="Arial" w:hAnsi="Arial"/>
                <w:b/>
                <w:bCs/>
                <w:color w:val="FFFFFF"/>
                <w:sz w:val="60"/>
                <w:szCs w:val="60"/>
              </w:rPr>
              <w:t xml:space="preserve">COMMODITIES MODULE</w:t>
            </w:r>
          </w:p>
          <w:p>
            <w:pPr>
              <w:spacing w:after="120"/>
              <w:jc w:val="center"/>
            </w:pPr>
            <w:r>
              <w:rPr>
                <w:rFonts w:ascii="Arial" w:cs="Arial" w:eastAsia="Arial" w:hAnsi="Arial"/>
                <w:b w:val="false"/>
                <w:bCs w:val="false"/>
                <w:color w:val="c8e6c9"/>
                <w:sz w:val="36"/>
                <w:szCs w:val="36"/>
              </w:rPr>
              <w:t xml:space="preserve">Market Intelligence Platform</w:t>
            </w:r>
          </w:p>
          <w:p>
            <w:pPr>
              <w:spacing w:after="0"/>
              <w:jc w:val="center"/>
            </w:pPr>
            <w:r>
              <w:rPr>
                <w:rFonts w:ascii="Arial" w:cs="Arial" w:eastAsia="Arial" w:hAnsi="Arial"/>
                <w:color w:val="a5d6a7"/>
                <w:sz w:val="24"/>
                <w:szCs w:val="24"/>
              </w:rPr>
              <w:t xml:space="preserve">GreenleafAI — Technical &amp; Product Documentation</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6"/>
              <w:left w:val="single" w:color="4a7c59" w:sz="6"/>
              <w:bottom w:val="single" w:color="4a7c59" w:sz="6"/>
              <w:right w:val="single" w:color="4a7c59" w:sz="6"/>
            </w:tcBorders>
            <w:shd w:fill="e8f5e9" w:val="clear"/>
            <w:tcMar>
              <w:top w:type="dxa" w:w="200"/>
              <w:left w:type="dxa" w:w="360"/>
              <w:bottom w:type="dxa" w:w="200"/>
              <w:right w:type="dxa" w:w="360"/>
            </w:tcMar>
          </w:tcPr>
          <w:p>
            <w:pPr>
              <w:spacing w:after="80"/>
              <w:jc w:val="center"/>
            </w:pPr>
            <w:r>
              <w:rPr>
                <w:rFonts w:ascii="Arial" w:cs="Arial" w:eastAsia="Arial" w:hAnsi="Arial"/>
                <w:b/>
                <w:bCs/>
                <w:color w:val="31572c"/>
                <w:sz w:val="28"/>
                <w:szCs w:val="28"/>
              </w:rPr>
              <w:t xml:space="preserve">Agriculture Trading Platform — Bloomberg for Bharat</w:t>
            </w:r>
          </w:p>
          <w:p>
            <w:pPr>
              <w:spacing w:after="0"/>
              <w:jc w:val="center"/>
            </w:pPr>
            <w:r>
              <w:rPr>
                <w:rFonts w:ascii="Arial" w:cs="Arial" w:eastAsia="Arial" w:hAnsi="Arial"/>
                <w:color w:val="475569"/>
                <w:sz w:val="22"/>
                <w:szCs w:val="22"/>
              </w:rPr>
              <w:t xml:space="preserve">Real-time price intelligence, futures data, seasonality analytics, and mandi spread tools for Indian farmers and agri-traders</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70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Commodities (Market Intelligence)</w:t>
            </w:r>
          </w:p>
        </w:tc>
      </w:tr>
      <w:tr>
        <w:tc>
          <w:tcPr>
            <w:tcW w:type="dxa" w:w="234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v1.0 — Production</w:t>
            </w:r>
          </w:p>
        </w:tc>
      </w:tr>
      <w:tr>
        <w:tc>
          <w:tcPr>
            <w:tcW w:type="dxa" w:w="234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Database</w:t>
            </w:r>
          </w:p>
        </w:tc>
        <w:tc>
          <w:tcPr>
            <w:tcW w:type="dxa" w:w="70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MongoDB Atlas (greenleaf-dev + agroindia_ collections)</w:t>
            </w:r>
          </w:p>
        </w:tc>
      </w:tr>
      <w:tr>
        <w:tc>
          <w:tcPr>
            <w:tcW w:type="dxa" w:w="234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Records</w:t>
            </w:r>
          </w:p>
        </w:tc>
        <w:tc>
          <w:tcPr>
            <w:tcW w:type="dxa" w:w="70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227,054+ commodity price records (Jul 2024 — May 2026) + 41,807 futures records (2015—present)</w:t>
            </w:r>
          </w:p>
        </w:tc>
      </w:tr>
      <w:tr>
        <w:tc>
          <w:tcPr>
            <w:tcW w:type="dxa" w:w="234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Stack</w:t>
            </w:r>
          </w:p>
        </w:tc>
        <w:tc>
          <w:tcPr>
            <w:tcW w:type="dxa" w:w="70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Node.js / Express Backend — React / Recharts Frontend — Mongoose ODM</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80"/>
      </w:pPr>
      <w:r>
        <w:rPr>
          <w:rFonts w:ascii="Arial" w:cs="Arial" w:eastAsia="Arial" w:hAnsi="Arial"/>
        </w:rPr>
        <w:t xml:space="preserve">1. Executive Summary</w:t>
      </w:r>
    </w:p>
    <w:p>
      <w:pPr>
        <w:spacing w:after="160"/>
        <w:jc w:val="left"/>
      </w:pPr>
      <w:r>
        <w:rPr>
          <w:rFonts w:ascii="Arial" w:cs="Arial" w:eastAsia="Arial" w:hAnsi="Arial"/>
          <w:b w:val="false"/>
          <w:bCs w:val="false"/>
          <w:color w:val="1e293b"/>
          <w:sz w:val="22"/>
          <w:szCs w:val="22"/>
        </w:rPr>
        <w:t xml:space="preserve">The Commodities Module is the Market Intelligence engine of GreenleafAI — an agriculture trading platform built for Indian farmers, agri-traders, and market participants. It functions as a "Bloomberg Terminal for Bharat," transforming raw price feeds from multiple data sources into normalized, analytically rich, and actionable insights presented through a modern React-based interface.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Mission</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Empower every Indian farmer and trader with institutional-grade commodity market data, seasonal price intelligence, and real-time arbitrage signals — accessible via mobile or web at no cost.</w:t>
            </w:r>
          </w:p>
        </w:tc>
      </w:tr>
    </w:tbl>
    <w:p>
      <w:pPr>
        <w:spacing w:after="160"/>
      </w:pPr>
    </w:p>
    <w:p>
      <w:pPr>
        <w:pStyle w:val="Heading2"/>
        <w:spacing w:after="120" w:before="280"/>
      </w:pPr>
      <w:r>
        <w:rPr>
          <w:rFonts w:ascii="Arial" w:cs="Arial" w:eastAsia="Arial" w:hAnsi="Arial"/>
        </w:rPr>
        <w:t xml:space="preserve">1.1 Key Capabilities</w:t>
      </w:r>
    </w:p>
    <w:p>
      <w:pPr>
        <w:pStyle w:val="ListParagraph"/>
        <w:numPr>
          <w:ilvl w:val="0"/>
          <w:numId w:val="2"/>
        </w:numPr>
        <w:spacing w:after="100"/>
      </w:pPr>
      <w:r>
        <w:rPr>
          <w:rFonts w:ascii="Arial" w:cs="Arial" w:eastAsia="Arial" w:hAnsi="Arial"/>
          <w:b w:val="false"/>
          <w:bCs w:val="false"/>
          <w:sz w:val="22"/>
          <w:szCs w:val="22"/>
        </w:rPr>
        <w:t xml:space="preserve">Real-time and historical spot price tracking for 50+ agricultural commodities</w:t>
      </w:r>
    </w:p>
    <w:p>
      <w:pPr>
        <w:pStyle w:val="ListParagraph"/>
        <w:numPr>
          <w:ilvl w:val="0"/>
          <w:numId w:val="2"/>
        </w:numPr>
        <w:spacing w:after="100"/>
      </w:pPr>
      <w:r>
        <w:rPr>
          <w:rFonts w:ascii="Arial" w:cs="Arial" w:eastAsia="Arial" w:hAnsi="Arial"/>
          <w:b w:val="false"/>
          <w:bCs w:val="false"/>
          <w:sz w:val="22"/>
          <w:szCs w:val="22"/>
        </w:rPr>
        <w:t xml:space="preserve">Multi-commodity normalized comparison (up to 5 crops on one chart)</w:t>
      </w:r>
    </w:p>
    <w:p>
      <w:pPr>
        <w:pStyle w:val="ListParagraph"/>
        <w:numPr>
          <w:ilvl w:val="0"/>
          <w:numId w:val="2"/>
        </w:numPr>
        <w:spacing w:after="100"/>
      </w:pPr>
      <w:r>
        <w:rPr>
          <w:rFonts w:ascii="Arial" w:cs="Arial" w:eastAsia="Arial" w:hAnsi="Arial"/>
          <w:b w:val="false"/>
          <w:bCs w:val="false"/>
          <w:sz w:val="22"/>
          <w:szCs w:val="22"/>
        </w:rPr>
        <w:t xml:space="preserve">Seasonality analytics — 12-month historical average price patterns per crop</w:t>
      </w:r>
    </w:p>
    <w:p>
      <w:pPr>
        <w:pStyle w:val="ListParagraph"/>
        <w:numPr>
          <w:ilvl w:val="0"/>
          <w:numId w:val="2"/>
        </w:numPr>
        <w:spacing w:after="100"/>
      </w:pPr>
      <w:r>
        <w:rPr>
          <w:rFonts w:ascii="Arial" w:cs="Arial" w:eastAsia="Arial" w:hAnsi="Arial"/>
          <w:b w:val="false"/>
          <w:bCs w:val="false"/>
          <w:sz w:val="22"/>
          <w:szCs w:val="22"/>
        </w:rPr>
        <w:t xml:space="preserve">Futures market data from MCX / NCDEX / CBOT / ICE exchanges</w:t>
      </w:r>
    </w:p>
    <w:p>
      <w:pPr>
        <w:pStyle w:val="ListParagraph"/>
        <w:numPr>
          <w:ilvl w:val="0"/>
          <w:numId w:val="2"/>
        </w:numPr>
        <w:spacing w:after="100"/>
      </w:pPr>
      <w:r>
        <w:rPr>
          <w:rFonts w:ascii="Arial" w:cs="Arial" w:eastAsia="Arial" w:hAnsi="Arial"/>
          <w:b w:val="false"/>
          <w:bCs w:val="false"/>
          <w:sz w:val="22"/>
          <w:szCs w:val="22"/>
        </w:rPr>
        <w:t xml:space="preserve">Mandi spread analysis — identify best and worst mandis for selling</w:t>
      </w:r>
    </w:p>
    <w:p>
      <w:pPr>
        <w:pStyle w:val="ListParagraph"/>
        <w:numPr>
          <w:ilvl w:val="0"/>
          <w:numId w:val="2"/>
        </w:numPr>
        <w:spacing w:after="100"/>
      </w:pPr>
      <w:r>
        <w:rPr>
          <w:rFonts w:ascii="Arial" w:cs="Arial" w:eastAsia="Arial" w:hAnsi="Arial"/>
          <w:b w:val="false"/>
          <w:bCs w:val="false"/>
          <w:sz w:val="22"/>
          <w:szCs w:val="22"/>
        </w:rPr>
        <w:t xml:space="preserve">Rule-based AI signals: Strong Buy, Buy, Stable, Caution, Hold &amp; Store</w:t>
      </w:r>
    </w:p>
    <w:p>
      <w:pPr>
        <w:pStyle w:val="ListParagraph"/>
        <w:numPr>
          <w:ilvl w:val="0"/>
          <w:numId w:val="2"/>
        </w:numPr>
        <w:spacing w:after="100"/>
      </w:pPr>
      <w:r>
        <w:rPr>
          <w:rFonts w:ascii="Arial" w:cs="Arial" w:eastAsia="Arial" w:hAnsi="Arial"/>
          <w:b w:val="false"/>
          <w:bCs w:val="false"/>
          <w:sz w:val="22"/>
          <w:szCs w:val="22"/>
        </w:rPr>
        <w:t xml:space="preserve">Three-tier data fallback ensuring 100% uptime even if primary sources fail</w:t>
      </w:r>
    </w:p>
    <w:p>
      <w:pPr>
        <w:pStyle w:val="ListParagraph"/>
        <w:numPr>
          <w:ilvl w:val="0"/>
          <w:numId w:val="2"/>
        </w:numPr>
        <w:spacing w:after="100"/>
      </w:pPr>
      <w:r>
        <w:rPr>
          <w:rFonts w:ascii="Arial" w:cs="Arial" w:eastAsia="Arial" w:hAnsi="Arial"/>
          <w:b w:val="false"/>
          <w:bCs w:val="false"/>
          <w:sz w:val="22"/>
          <w:szCs w:val="22"/>
        </w:rPr>
        <w:t xml:space="preserve">Integrated with Marketplace — one-click "Sell Now" from price detail view</w:t>
      </w:r>
    </w:p>
    <w:p>
      <w:pPr>
        <w:spacing w:after="160"/>
      </w:pPr>
    </w:p>
    <w:p>
      <w:pPr>
        <w:pStyle w:val="Heading2"/>
        <w:spacing w:after="120" w:before="280"/>
      </w:pPr>
      <w:r>
        <w:rPr>
          <w:rFonts w:ascii="Arial" w:cs="Arial" w:eastAsia="Arial" w:hAnsi="Arial"/>
        </w:rPr>
        <w:t xml:space="preserve">1.2 Data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 Range</w:t>
            </w:r>
          </w:p>
        </w:tc>
      </w:tr>
      <w:tr>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Spot Price Records</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227,054+</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Jul 2024 – May 2026</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Futures Records</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41,807</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Jan 2015 – May 2026</w:t>
            </w:r>
          </w:p>
        </w:tc>
      </w:tr>
      <w:tr>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Commodities (Wheat)</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4,406 records</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Highest data density</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Commodities (Cotton)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3,039 records</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Futures + spot data</w:t>
            </w:r>
          </w:p>
        </w:tc>
      </w:tr>
      <w:tr>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Mandi Locations</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500+ across India</w:t>
            </w:r>
          </w:p>
        </w:tc>
        <w:tc>
          <w:tcPr>
            <w:tcW w:type="dxa" w:w="31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Agroindia seed data</w:t>
            </w:r>
          </w:p>
        </w:tc>
      </w:tr>
    </w:tbl>
    <w:p>
      <w:r>
        <w:br w:type="page"/>
      </w:r>
    </w:p>
    <w:p>
      <w:pPr>
        <w:pStyle w:val="Heading1"/>
        <w:spacing w:after="120" w:before="280"/>
      </w:pPr>
      <w:r>
        <w:rPr>
          <w:rFonts w:ascii="Arial" w:cs="Arial" w:eastAsia="Arial" w:hAnsi="Arial"/>
        </w:rPr>
        <w:t xml:space="preserve">2. Architecture Overview</w:t>
      </w:r>
    </w:p>
    <w:p>
      <w:pPr>
        <w:spacing w:after="160"/>
        <w:jc w:val="left"/>
      </w:pPr>
      <w:r>
        <w:rPr>
          <w:rFonts w:ascii="Arial" w:cs="Arial" w:eastAsia="Arial" w:hAnsi="Arial"/>
          <w:b w:val="false"/>
          <w:bCs w:val="false"/>
          <w:color w:val="1e293b"/>
          <w:sz w:val="22"/>
          <w:szCs w:val="22"/>
        </w:rPr>
        <w:t xml:space="preserve">The Commodities Module follows a layered architecture pattern with a clear separation between data ingestion, business logic, API layer, and frontend presentation. The system is designed for resilience: every analytical endpoint has a three-tier fallback so the platform always serves meaningful data.</w:t>
      </w:r>
    </w:p>
    <w:p>
      <w:pPr>
        <w:spacing w:after="160"/>
      </w:pPr>
    </w:p>
    <w:p>
      <w:pPr>
        <w:pStyle w:val="Heading2"/>
        <w:spacing w:after="120" w:before="280"/>
      </w:pPr>
      <w:r>
        <w:rPr>
          <w:rFonts w:ascii="Arial" w:cs="Arial" w:eastAsia="Arial" w:hAnsi="Arial"/>
        </w:rPr>
        <w:t xml:space="preserve">2.1 System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6"/>
              <w:left w:val="single" w:color="4a7c59" w:sz="6"/>
              <w:bottom w:val="single" w:color="4a7c59" w:sz="6"/>
              <w:right w:val="single" w:color="4a7c59" w:sz="6"/>
            </w:tcBorders>
            <w:shd w:fill="0f2419" w:val="clear"/>
            <w:tcMar>
              <w:top w:type="dxa" w:w="200"/>
              <w:left w:type="dxa" w:w="300"/>
              <w:bottom w:type="dxa" w:w="200"/>
              <w:right w:type="dxa" w:w="300"/>
            </w:tcMar>
          </w:tcPr>
          <w:p>
            <w:pPr>
              <w:spacing w:after="80"/>
              <w:jc w:val="center"/>
            </w:pPr>
            <w:r>
              <w:rPr>
                <w:rFonts w:ascii="Courier New" w:cs="Courier New" w:eastAsia="Courier New" w:hAnsi="Courier New"/>
                <w:b/>
                <w:bCs/>
                <w:color w:val="c8e6c9"/>
                <w:sz w:val="20"/>
                <w:szCs w:val="20"/>
              </w:rPr>
              <w:t xml:space="preserve">DATA SOURCES</w:t>
            </w:r>
          </w:p>
          <w:p>
            <w:pPr>
              <w:spacing w:after="80"/>
              <w:jc w:val="center"/>
            </w:pPr>
            <w:r>
              <w:rPr>
                <w:rFonts w:ascii="Courier New" w:cs="Courier New" w:eastAsia="Courier New" w:hAnsi="Courier New"/>
                <w:color w:val="86efac"/>
                <w:sz w:val="18"/>
                <w:szCs w:val="18"/>
              </w:rPr>
              <w:t xml:space="preserve">[Greenleaf API]  →  [MCX / NCDEX / CBOT]  →  [Agroindia Mandi Seed]</w:t>
            </w:r>
          </w:p>
          <w:p>
            <w:pPr>
              <w:spacing w:after="80"/>
              <w:jc w:val="center"/>
            </w:pPr>
            <w:r>
              <w:rPr>
                <w:rFonts w:ascii="Courier New" w:cs="Courier New" w:eastAsia="Courier New" w:hAnsi="Courier New"/>
                <w:color w:val="4ade80"/>
                <w:sz w:val="20"/>
                <w:szCs w:val="20"/>
              </w:rPr>
              <w:t xml:space="preserve">↓  ↓  ↓</w:t>
            </w:r>
          </w:p>
          <w:p>
            <w:pPr>
              <w:spacing w:after="80"/>
              <w:jc w:val="center"/>
            </w:pPr>
            <w:r>
              <w:rPr>
                <w:rFonts w:ascii="Courier New" w:cs="Courier New" w:eastAsia="Courier New" w:hAnsi="Courier New"/>
                <w:b/>
                <w:bCs/>
                <w:color w:val="c8e6c9"/>
                <w:sz w:val="20"/>
                <w:szCs w:val="20"/>
              </w:rPr>
              <w:t xml:space="preserve">MONGODB ATLAS (greenleaf-dev)</w:t>
            </w:r>
          </w:p>
          <w:p>
            <w:pPr>
              <w:spacing w:after="80"/>
              <w:jc w:val="center"/>
            </w:pPr>
            <w:r>
              <w:rPr>
                <w:rFonts w:ascii="Courier New" w:cs="Courier New" w:eastAsia="Courier New" w:hAnsi="Courier New"/>
                <w:color w:val="86efac"/>
                <w:sz w:val="18"/>
                <w:szCs w:val="18"/>
              </w:rPr>
              <w:t xml:space="preserve">[commodityvalues]  [commodityfutures]  [agroindia_mandi_prices]</w:t>
            </w:r>
          </w:p>
          <w:p>
            <w:pPr>
              <w:spacing w:after="80"/>
              <w:jc w:val="center"/>
            </w:pPr>
            <w:r>
              <w:rPr>
                <w:rFonts w:ascii="Courier New" w:cs="Courier New" w:eastAsia="Courier New" w:hAnsi="Courier New"/>
                <w:color w:val="4ade80"/>
                <w:sz w:val="20"/>
                <w:szCs w:val="20"/>
              </w:rPr>
              <w:t xml:space="preserve">↓  ↓  ↓</w:t>
            </w:r>
          </w:p>
          <w:p>
            <w:pPr>
              <w:spacing w:after="80"/>
              <w:jc w:val="center"/>
            </w:pPr>
            <w:r>
              <w:rPr>
                <w:rFonts w:ascii="Courier New" w:cs="Courier New" w:eastAsia="Courier New" w:hAnsi="Courier New"/>
                <w:b/>
                <w:bCs/>
                <w:color w:val="c8e6c9"/>
                <w:sz w:val="20"/>
                <w:szCs w:val="20"/>
              </w:rPr>
              <w:t xml:space="preserve">ANALYTICS CONTROLLER</w:t>
            </w:r>
          </w:p>
          <w:p>
            <w:pPr>
              <w:spacing w:after="80"/>
              <w:jc w:val="center"/>
            </w:pPr>
            <w:r>
              <w:rPr>
                <w:rFonts w:ascii="Courier New" w:cs="Courier New" w:eastAsia="Courier New" w:hAnsi="Courier New"/>
                <w:color w:val="86efac"/>
                <w:sz w:val="18"/>
                <w:szCs w:val="18"/>
              </w:rPr>
              <w:t xml:space="preserve">[commodity.analytics.controller.js]</w:t>
            </w:r>
          </w:p>
          <w:p>
            <w:pPr>
              <w:spacing w:after="80"/>
              <w:jc w:val="center"/>
            </w:pPr>
            <w:r>
              <w:rPr>
                <w:rFonts w:ascii="Courier New" w:cs="Courier New" w:eastAsia="Courier New" w:hAnsi="Courier New"/>
                <w:color w:val="4ade80"/>
                <w:sz w:val="20"/>
                <w:szCs w:val="20"/>
              </w:rPr>
              <w:t xml:space="preserve">↓  ↓  ↓</w:t>
            </w:r>
          </w:p>
          <w:p>
            <w:pPr>
              <w:spacing w:after="80"/>
              <w:jc w:val="center"/>
            </w:pPr>
            <w:r>
              <w:rPr>
                <w:rFonts w:ascii="Courier New" w:cs="Courier New" w:eastAsia="Courier New" w:hAnsi="Courier New"/>
                <w:b/>
                <w:bCs/>
                <w:color w:val="c8e6c9"/>
                <w:sz w:val="20"/>
                <w:szCs w:val="20"/>
              </w:rPr>
              <w:t xml:space="preserve">REST API ENDPOINTS</w:t>
            </w:r>
          </w:p>
          <w:p>
            <w:pPr>
              <w:spacing w:after="80"/>
              <w:jc w:val="center"/>
            </w:pPr>
            <w:r>
              <w:rPr>
                <w:rFonts w:ascii="Courier New" w:cs="Courier New" w:eastAsia="Courier New" w:hAnsi="Courier New"/>
                <w:color w:val="86efac"/>
                <w:sz w:val="18"/>
                <w:szCs w:val="18"/>
              </w:rPr>
              <w:t xml:space="preserve">/commodity-meta  /commodity-compare  /commodity-futures  /commodity-seasonality  /mandi-spread</w:t>
            </w:r>
          </w:p>
          <w:p>
            <w:pPr>
              <w:spacing w:after="80"/>
              <w:jc w:val="center"/>
            </w:pPr>
            <w:r>
              <w:rPr>
                <w:rFonts w:ascii="Courier New" w:cs="Courier New" w:eastAsia="Courier New" w:hAnsi="Courier New"/>
                <w:color w:val="4ade80"/>
                <w:sz w:val="20"/>
                <w:szCs w:val="20"/>
              </w:rPr>
              <w:t xml:space="preserve">↓  ↓  ↓</w:t>
            </w:r>
          </w:p>
          <w:p>
            <w:pPr>
              <w:spacing w:after="0"/>
              <w:jc w:val="center"/>
            </w:pPr>
            <w:r>
              <w:rPr>
                <w:rFonts w:ascii="Courier New" w:cs="Courier New" w:eastAsia="Courier New" w:hAnsi="Courier New"/>
                <w:b/>
                <w:bCs/>
                <w:color w:val="c8e6c9"/>
                <w:sz w:val="20"/>
                <w:szCs w:val="20"/>
              </w:rPr>
              <w:t xml:space="preserve">REACT FRONTEND  →  MarketDashboard  •  CommodityCompare  •  CommodityDetail</w:t>
            </w:r>
          </w:p>
        </w:tc>
      </w:tr>
    </w:tbl>
    <w:p>
      <w:pPr>
        <w:spacing w:after="200"/>
      </w:pPr>
    </w:p>
    <w:p>
      <w:pPr>
        <w:pStyle w:val="Heading2"/>
        <w:spacing w:after="120" w:before="280"/>
      </w:pPr>
      <w:r>
        <w:rPr>
          <w:rFonts w:ascii="Arial" w:cs="Arial" w:eastAsia="Arial" w:hAnsi="Arial"/>
        </w:rPr>
        <w:t xml:space="preserve">2.2 Three-Tier Data Fallback Strategy</w:t>
      </w:r>
    </w:p>
    <w:p>
      <w:pPr>
        <w:spacing w:after="160"/>
        <w:jc w:val="left"/>
      </w:pPr>
      <w:r>
        <w:rPr>
          <w:rFonts w:ascii="Arial" w:cs="Arial" w:eastAsia="Arial" w:hAnsi="Arial"/>
          <w:b w:val="false"/>
          <w:bCs w:val="false"/>
          <w:color w:val="1e293b"/>
          <w:sz w:val="22"/>
          <w:szCs w:val="22"/>
        </w:rPr>
        <w:t xml:space="preserve">Every analytics endpoint uses a prioritized fallback chain to guarantee data availability. This is the most important architectural decision in the module.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c>
          <w:tcPr>
            <w:tcW w:type="dxa" w:w="12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4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c>
          <w:tcPr>
            <w:tcW w:type="dxa" w:w="36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Collection</w:t>
            </w:r>
          </w:p>
        </w:tc>
      </w:tr>
      <w:tr>
        <w:tc>
          <w:tcPr>
            <w:tcW w:type="dxa" w:w="120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bCs/>
                <w:sz w:val="20"/>
                <w:szCs w:val="20"/>
              </w:rPr>
              <w:t xml:space="preserve">1 (Primary)</w:t>
            </w:r>
          </w:p>
        </w:tc>
        <w:tc>
          <w:tcPr>
            <w:tcW w:type="dxa" w:w="240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bCs/>
                <w:sz w:val="20"/>
                <w:szCs w:val="20"/>
              </w:rPr>
              <w:t xml:space="preserve">GlCommodityValue</w:t>
            </w:r>
          </w:p>
        </w:tc>
        <w:tc>
          <w:tcPr>
            <w:tcW w:type="dxa" w:w="360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val="false"/>
                <w:bCs w:val="false"/>
                <w:sz w:val="20"/>
                <w:szCs w:val="20"/>
              </w:rPr>
              <w:t xml:space="preserve">Historical spot price data ingested from Greenleaf API (227,054+ records)</w:t>
            </w:r>
          </w:p>
        </w:tc>
        <w:tc>
          <w:tcPr>
            <w:tcW w:type="dxa" w:w="216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commodityvalues</w:t>
            </w:r>
          </w:p>
        </w:tc>
      </w:tr>
      <w:tr>
        <w:tc>
          <w:tcPr>
            <w:tcW w:type="dxa" w:w="12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r>
              <w:rPr>
                <w:rFonts w:ascii="Arial" w:cs="Arial" w:eastAsia="Arial" w:hAnsi="Arial"/>
                <w:b/>
                <w:bCs/>
                <w:sz w:val="20"/>
                <w:szCs w:val="20"/>
              </w:rPr>
              <w:t xml:space="preserve">2 (Secondary)</w:t>
            </w:r>
          </w:p>
        </w:tc>
        <w:tc>
          <w:tcPr>
            <w:tcW w:type="dxa" w:w="24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r>
              <w:rPr>
                <w:rFonts w:ascii="Arial" w:cs="Arial" w:eastAsia="Arial" w:hAnsi="Arial"/>
                <w:b/>
                <w:bCs/>
                <w:sz w:val="20"/>
                <w:szCs w:val="20"/>
              </w:rPr>
              <w:t xml:space="preserve">GlCommodityFutures</w:t>
            </w:r>
          </w:p>
        </w:tc>
        <w:tc>
          <w:tcPr>
            <w:tcW w:type="dxa" w:w="360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r>
              <w:rPr>
                <w:rFonts w:ascii="Arial" w:cs="Arial" w:eastAsia="Arial" w:hAnsi="Arial"/>
                <w:b w:val="false"/>
                <w:bCs w:val="false"/>
                <w:sz w:val="20"/>
                <w:szCs w:val="20"/>
              </w:rPr>
              <w:t xml:space="preserve">Futures and derivatives data from MCX, NCDEX, CBOT, ICE exchanges (41,807+ records)</w:t>
            </w:r>
          </w:p>
        </w:tc>
        <w:tc>
          <w:tcPr>
            <w:tcW w:type="dxa" w:w="2160"/>
            <w:tcBorders>
              <w:top w:val="single" w:color="CCCCCC" w:sz="4"/>
              <w:left w:val="single" w:color="CCCCCC" w:sz="4"/>
              <w:bottom w:val="single" w:color="CCCCCC" w:sz="4"/>
              <w:right w:val="single" w:color="CCCCCC" w:sz="4"/>
            </w:tcBorders>
            <w:shd w:fill="dbeafe"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commodityfutures</w:t>
            </w:r>
          </w:p>
        </w:tc>
      </w:tr>
      <w:tr>
        <w:tc>
          <w:tcPr>
            <w:tcW w:type="dxa" w:w="120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bCs/>
                <w:sz w:val="20"/>
                <w:szCs w:val="20"/>
              </w:rPr>
              <w:t xml:space="preserve">3 (Fallback)</w:t>
            </w:r>
          </w:p>
        </w:tc>
        <w:tc>
          <w:tcPr>
            <w:tcW w:type="dxa" w:w="240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bCs/>
                <w:sz w:val="20"/>
                <w:szCs w:val="20"/>
              </w:rPr>
              <w:t xml:space="preserve">MandiPrice</w:t>
            </w:r>
          </w:p>
        </w:tc>
        <w:tc>
          <w:tcPr>
            <w:tcW w:type="dxa" w:w="360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val="false"/>
                <w:bCs w:val="false"/>
                <w:sz w:val="20"/>
                <w:szCs w:val="20"/>
              </w:rPr>
              <w:t xml:space="preserve">Local Agroindia mandi seed data — always available, 500+ mandi locations across India</w:t>
            </w:r>
          </w:p>
        </w:tc>
        <w:tc>
          <w:tcPr>
            <w:tcW w:type="dxa" w:w="216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val="false"/>
                <w:bCs w:val="false"/>
                <w:sz w:val="20"/>
                <w:szCs w:val="20"/>
              </w:rPr>
              <w:t xml:space="preserve">agroindia_mandi_prices</w:t>
            </w:r>
          </w:p>
        </w:tc>
      </w:tr>
    </w:tbl>
    <w:p>
      <w:r>
        <w:br w:type="page"/>
      </w:r>
    </w:p>
    <w:p>
      <w:pPr>
        <w:pStyle w:val="Heading1"/>
        <w:spacing w:after="120" w:before="280"/>
      </w:pPr>
      <w:r>
        <w:rPr>
          <w:rFonts w:ascii="Arial" w:cs="Arial" w:eastAsia="Arial" w:hAnsi="Arial"/>
        </w:rPr>
        <w:t xml:space="preserve">3. Data Models</w:t>
      </w:r>
    </w:p>
    <w:p>
      <w:pPr>
        <w:spacing w:after="160"/>
        <w:jc w:val="left"/>
      </w:pPr>
      <w:r>
        <w:rPr>
          <w:rFonts w:ascii="Arial" w:cs="Arial" w:eastAsia="Arial" w:hAnsi="Arial"/>
          <w:b w:val="false"/>
          <w:bCs w:val="false"/>
          <w:color w:val="1e293b"/>
          <w:sz w:val="22"/>
          <w:szCs w:val="22"/>
        </w:rPr>
        <w:t xml:space="preserve">The module uses five Mongoose models representing distinct concerns. Three are read-only (Greenleaf-sourced) and two are read-write (application-specific).</w:t>
      </w:r>
    </w:p>
    <w:p>
      <w:pPr>
        <w:spacing w:after="140"/>
      </w:pPr>
    </w:p>
    <w:p>
      <w:pPr>
        <w:pStyle w:val="Heading2"/>
        <w:spacing w:after="120" w:before="280"/>
      </w:pPr>
      <w:r>
        <w:rPr>
          <w:rFonts w:ascii="Arial" w:cs="Arial" w:eastAsia="Arial" w:hAnsi="Arial"/>
        </w:rPr>
        <w:t xml:space="preserve">3.1 GlCommodity — Commodity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Collection</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greenleaf-dev → commodities (DO NOT RENAME — existing production collection)</w:t>
            </w:r>
          </w:p>
        </w:tc>
      </w:tr>
    </w:tbl>
    <w:p>
      <w:pPr>
        <w:spacing w:after="120"/>
      </w:pPr>
    </w:p>
    <w:p>
      <w:pPr>
        <w:spacing w:after="160"/>
        <w:jc w:val="left"/>
      </w:pPr>
      <w:r>
        <w:rPr>
          <w:rFonts w:ascii="Arial" w:cs="Arial" w:eastAsia="Arial" w:hAnsi="Arial"/>
          <w:b w:val="false"/>
          <w:bCs w:val="false"/>
          <w:color w:val="1e293b"/>
          <w:sz w:val="22"/>
          <w:szCs w:val="22"/>
        </w:rPr>
        <w:t xml:space="preserve">The master list of all commodities. Every price record in the system references a commodity by its ObjectId from this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3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commodity_name</w:t>
            </w:r>
          </w:p>
        </w:tc>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 (required)</w:t>
            </w:r>
          </w:p>
        </w:tc>
        <w:tc>
          <w:tcPr>
            <w:tcW w:type="dxa" w:w="43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Primary lookup key, e.g. "Wheat", "Cotton", "Bajra"</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commodity_type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Enum String</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agricultural | metal and minerals | energy | oil and seeds | agriculture</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is_active</w:t>
            </w:r>
          </w:p>
        </w:tc>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Boolean</w:t>
            </w:r>
          </w:p>
        </w:tc>
        <w:tc>
          <w:tcPr>
            <w:tcW w:type="dxa" w:w="43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Inactive commodities are excluded from meta endpoint results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parent_name</w:t>
            </w:r>
          </w:p>
        </w:tc>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43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Groups sub-varieties (e.g. COTTONKADI → parent: Cotton)</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commodity_name_other_language</w:t>
            </w:r>
          </w:p>
        </w:tc>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43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Hindi or regional name for localisation</w:t>
            </w:r>
          </w:p>
        </w:tc>
      </w:tr>
    </w:tbl>
    <w:p>
      <w:pPr>
        <w:spacing w:after="120"/>
      </w:pPr>
    </w:p>
    <w:p>
      <w:pPr>
        <w:spacing w:after="160"/>
        <w:jc w:val="left"/>
      </w:pPr>
      <w:r>
        <w:rPr>
          <w:rFonts w:ascii="Arial" w:cs="Arial" w:eastAsia="Arial" w:hAnsi="Arial"/>
          <w:b w:val="false"/>
          <w:bCs w:val="false"/>
          <w:color w:val="475569"/>
          <w:sz w:val="20"/>
          <w:szCs w:val="20"/>
        </w:rPr>
        <w:t xml:space="preserve">Indexes: commodity_name (1), commodity_type (1), is_active (1), parent_name (1)</w:t>
      </w:r>
    </w:p>
    <w:p>
      <w:pPr>
        <w:spacing w:after="160"/>
      </w:pPr>
    </w:p>
    <w:p>
      <w:pPr>
        <w:pStyle w:val="Heading2"/>
        <w:spacing w:after="120" w:before="280"/>
      </w:pPr>
      <w:r>
        <w:rPr>
          <w:rFonts w:ascii="Arial" w:cs="Arial" w:eastAsia="Arial" w:hAnsi="Arial"/>
        </w:rPr>
        <w:t xml:space="preserve">3.2 GlCommodityValue — Historical Spot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Collection</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greenleaf-dev → commodityvalues — 227,054+ records from Jul 2024 to May 2026</w:t>
            </w:r>
          </w:p>
        </w:tc>
      </w:tr>
    </w:tbl>
    <w:p>
      <w:pPr>
        <w:spacing w:after="120"/>
      </w:pPr>
    </w:p>
    <w:p>
      <w:pPr>
        <w:spacing w:after="160"/>
        <w:jc w:val="left"/>
      </w:pPr>
      <w:r>
        <w:rPr>
          <w:rFonts w:ascii="Arial" w:cs="Arial" w:eastAsia="Arial" w:hAnsi="Arial"/>
          <w:b w:val="false"/>
          <w:bCs w:val="false"/>
          <w:color w:val="1e293b"/>
          <w:sz w:val="22"/>
          <w:szCs w:val="22"/>
        </w:rPr>
        <w:t xml:space="preserve">The primary time-series data store. Each record is a daily price observation for one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160"/>
      </w:tblGrid>
      <w:tr>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commodity_id</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ObjectId</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Foreign key → GlCommodity._id</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date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Stored as "YYYY-MM-DD". String (not Date) for deterministic range queries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price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Primary spot price field (used first in analytics)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min_price / max_price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Daily trading range. min_price used as fallback if price = 0</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spot_price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Third fallback price field used in analytics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city_id</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ObjectId</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Reference to cities collection (not yet exposed in UI)</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source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Origin of the price record (e.g., "agmarknet", "greenleaf")</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is_active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Boolean</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Soft-delete flag; inactive records excluded from all queries</w:t>
            </w:r>
          </w:p>
        </w:tc>
      </w:tr>
    </w:tbl>
    <w:p>
      <w:pPr>
        <w:spacing w:after="120"/>
      </w:pPr>
    </w:p>
    <w:p>
      <w:pPr>
        <w:spacing w:after="160"/>
        <w:jc w:val="left"/>
      </w:pPr>
      <w:r>
        <w:rPr>
          <w:rFonts w:ascii="Arial" w:cs="Arial" w:eastAsia="Arial" w:hAnsi="Arial"/>
          <w:b w:val="false"/>
          <w:bCs w:val="false"/>
          <w:color w:val="475569"/>
          <w:sz w:val="20"/>
          <w:szCs w:val="20"/>
        </w:rPr>
        <w:t xml:space="preserve">Critical Compound Index: { commodity_id: 1, date: -1 } — required for performant date-range trend queries</w:t>
      </w:r>
    </w:p>
    <w:p>
      <w:pPr>
        <w:spacing w:after="160"/>
      </w:pPr>
    </w:p>
    <w:p>
      <w:pPr>
        <w:pStyle w:val="Heading2"/>
        <w:spacing w:after="120" w:before="280"/>
      </w:pPr>
      <w:r>
        <w:rPr>
          <w:rFonts w:ascii="Arial" w:cs="Arial" w:eastAsia="Arial" w:hAnsi="Arial"/>
        </w:rPr>
        <w:t xml:space="preserve">3.3 GlCommodityFutures — Futures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Collection</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greenleaf-dev → commodityfutures — 41,807 records from Jan 2015 to May 2026</w:t>
            </w:r>
          </w:p>
        </w:tc>
      </w:tr>
    </w:tbl>
    <w:p>
      <w:pPr>
        <w:spacing w:after="120"/>
      </w:pPr>
    </w:p>
    <w:p>
      <w:pPr>
        <w:spacing w:after="160"/>
        <w:jc w:val="left"/>
      </w:pPr>
      <w:r>
        <w:rPr>
          <w:rFonts w:ascii="Arial" w:cs="Arial" w:eastAsia="Arial" w:hAnsi="Arial"/>
          <w:b w:val="false"/>
          <w:bCs w:val="false"/>
          <w:color w:val="1e293b"/>
          <w:sz w:val="22"/>
          <w:szCs w:val="22"/>
        </w:rPr>
        <w:t xml:space="preserve">Stores futures contract data from multiple exchanges. Each document contains one trading day's data including an array of expiry contract months (expiry_data[]).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160"/>
      </w:tblGrid>
      <w:tr>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commodity_id</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ObjectId</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Foreign key → GlCommodity._id</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date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"YYYY-MM-DD" format. Latest record retrieved per commodity per portal</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portal</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Enum</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ifp (Barchart/CBOT/ICE) | dce_bmd (Dalian/Bursa Malaysia) | oip (MCX/NCDEX India)</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expiry_data[]</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Array</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Array of contract months, each with contract, last_price, change_in_price, open/high/low, volume, open_interest</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source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Source URL or platform identifier (e.g., barchart.com)</w:t>
            </w:r>
          </w:p>
        </w:tc>
      </w:tr>
    </w:tbl>
    <w:p>
      <w:pPr>
        <w:spacing w:after="120"/>
      </w:pPr>
    </w:p>
    <w:p>
      <w:pPr>
        <w:spacing w:after="160"/>
        <w:jc w:val="left"/>
      </w:pPr>
      <w:r>
        <w:rPr>
          <w:rFonts w:ascii="Arial" w:cs="Arial" w:eastAsia="Arial" w:hAnsi="Arial"/>
          <w:b w:val="false"/>
          <w:bCs w:val="false"/>
          <w:color w:val="475569"/>
          <w:sz w:val="20"/>
          <w:szCs w:val="20"/>
        </w:rPr>
        <w:t xml:space="preserve">Note: All numeric fields in expiry_data are stored as strings in source data and parsed using the parseNum() helper on read.</w:t>
      </w:r>
    </w:p>
    <w:p>
      <w:pPr>
        <w:spacing w:after="160"/>
      </w:pPr>
    </w:p>
    <w:p>
      <w:pPr>
        <w:pStyle w:val="Heading2"/>
        <w:spacing w:after="120" w:before="280"/>
      </w:pPr>
      <w:r>
        <w:rPr>
          <w:rFonts w:ascii="Arial" w:cs="Arial" w:eastAsia="Arial" w:hAnsi="Arial"/>
        </w:rPr>
        <w:t xml:space="preserve">3.4 MandiPrice — Local Mandi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59e0b" w:sz="6"/>
              <w:left w:val="single" w:color="f59e0b" w:sz="6"/>
              <w:bottom w:val="single" w:color="f59e0b" w:sz="6"/>
              <w:right w:val="single" w:color="f59e0b" w:sz="6"/>
            </w:tcBorders>
            <w:shd w:fill="f59e0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Collection</w:t>
            </w:r>
          </w:p>
        </w:tc>
        <w:tc>
          <w:tcPr>
            <w:tcW w:type="dxa" w:w="7560"/>
            <w:tcBorders>
              <w:top w:val="single" w:color="f59e0b" w:sz="6"/>
              <w:left w:val="single" w:color="f59e0b" w:sz="6"/>
              <w:bottom w:val="single" w:color="f59e0b" w:sz="6"/>
              <w:right w:val="single" w:color="f59e0b" w:sz="6"/>
            </w:tcBorders>
            <w:shd w:fill="fff8e1" w:val="clear"/>
            <w:tcMar>
              <w:top w:type="dxa" w:w="80"/>
              <w:left w:type="dxa" w:w="140"/>
              <w:bottom w:type="dxa" w:w="80"/>
              <w:right w:type="dxa" w:w="140"/>
            </w:tcMar>
          </w:tcPr>
          <w:p>
            <w:r>
              <w:rPr>
                <w:rFonts w:ascii="Arial" w:cs="Arial" w:eastAsia="Arial" w:hAnsi="Arial"/>
                <w:color w:val="1e293b"/>
                <w:sz w:val="20"/>
                <w:szCs w:val="20"/>
              </w:rPr>
              <w:t xml:space="preserve">agroindia_mandi_prices — Seeded from Agroindia API. Always-available fallback.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160"/>
      </w:tblGrid>
      <w:tr>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 name as plain string (not ObjectId reference)</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mandiName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Market yard name, e.g. "Indore", "Akola", "Rajkot"</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district / state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Geographic hierarchy for state-level filtering</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minPrice / maxPrice / modalPrice</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modalPrice is the primary price used in spread analysis. Unit: INR/Quintal</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arrivalVolume</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Daily arrival in quintals at the mandi</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trend</w:t>
            </w:r>
          </w:p>
        </w:tc>
        <w:tc>
          <w:tcPr>
            <w:tcW w:type="dxa" w:w="16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Enum</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up | down | stable — direction vs. previous day</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changePercent</w:t>
            </w:r>
          </w:p>
        </w:tc>
        <w:tc>
          <w:tcPr>
            <w:tcW w:type="dxa" w:w="16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w:t>
            </w:r>
          </w:p>
        </w:tc>
        <w:tc>
          <w:tcPr>
            <w:tcW w:type="dxa" w:w="5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Percentage change from previousModalPrice</w:t>
            </w:r>
          </w:p>
        </w:tc>
      </w:tr>
    </w:tbl>
    <w:p>
      <w:r>
        <w:br w:type="page"/>
      </w:r>
    </w:p>
    <w:p>
      <w:pPr>
        <w:pStyle w:val="Heading1"/>
        <w:spacing w:after="120" w:before="280"/>
      </w:pPr>
      <w:r>
        <w:rPr>
          <w:rFonts w:ascii="Arial" w:cs="Arial" w:eastAsia="Arial" w:hAnsi="Arial"/>
        </w:rPr>
        <w:t xml:space="preserve">4. Backend API Reference</w:t>
      </w:r>
    </w:p>
    <w:p>
      <w:pPr>
        <w:spacing w:after="160"/>
        <w:jc w:val="left"/>
      </w:pPr>
      <w:r>
        <w:rPr>
          <w:rFonts w:ascii="Arial" w:cs="Arial" w:eastAsia="Arial" w:hAnsi="Arial"/>
          <w:b w:val="false"/>
          <w:bCs w:val="false"/>
          <w:color w:val="1e293b"/>
          <w:sz w:val="22"/>
          <w:szCs w:val="22"/>
        </w:rPr>
        <w:t xml:space="preserve">All analytics endpoints are served from commodity.analytics.controller.js and registered under /api/. Every response includes a source field indicating which data tier was used, enabling transparent debugging and UI badges.</w:t>
      </w:r>
    </w:p>
    <w:p>
      <w:pPr>
        <w:spacing w:after="200"/>
      </w:pPr>
    </w:p>
    <w:p>
      <w:pPr>
        <w:pStyle w:val="Heading2"/>
        <w:spacing w:after="120" w:before="280"/>
      </w:pPr>
      <w:r>
        <w:rPr>
          <w:rFonts w:ascii="Arial" w:cs="Arial" w:eastAsia="Arial" w:hAnsi="Arial"/>
        </w:rPr>
        <w:t xml:space="preserve">4.1 GET /api/commodity-meta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Returns master list of all active commodities with feature-availability flags</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Controller</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getCommodityMeta()</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None (public endpoint)</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Params</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None required</w:t>
            </w:r>
          </w:p>
        </w:tc>
      </w:tr>
    </w:tbl>
    <w:p>
      <w:pPr>
        <w:spacing w:after="120"/>
      </w:pPr>
    </w:p>
    <w:p>
      <w:pPr>
        <w:spacing w:after="160"/>
        <w:jc w:val="left"/>
      </w:pPr>
      <w:r>
        <w:rPr>
          <w:rFonts w:ascii="Arial" w:cs="Arial" w:eastAsia="Arial" w:hAnsi="Arial"/>
          <w:b/>
          <w:bCs/>
          <w:color w:val="1e293b"/>
          <w:sz w:val="20"/>
          <w:szCs w:val="20"/>
        </w:rPr>
        <w:t xml:space="preserve">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5040"/>
      </w:tblGrid>
      <w:tr>
        <w:tc>
          <w:tcPr>
            <w:tcW w:type="dxa" w:w="28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44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04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commodities[]._id</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ObjectId</w:t>
            </w:r>
          </w:p>
        </w:tc>
        <w:tc>
          <w:tcPr>
            <w:tcW w:type="dxa" w:w="50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MongoDB _id from GlCommodity collection</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commodities[].name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String</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Display name (e.g. "Wheat", "Cotton")</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commodities[].hasTrendData</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Boolean</w:t>
            </w:r>
          </w:p>
        </w:tc>
        <w:tc>
          <w:tcPr>
            <w:tcW w:type="dxa" w:w="50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 if commodityvalues has records. Controls "Compare" button visibility.</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commodities[].hasFuturesData</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Boolean</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True if commodityfutures has records. Controls "Futures" tab visibility.</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commodities[].hasMandiData</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Boolean</w:t>
            </w:r>
          </w:p>
        </w:tc>
        <w:tc>
          <w:tcPr>
            <w:tcW w:type="dxa" w:w="50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 if agroindia_mandi_prices has records. Controls "Mandi Spread" tab visibility.</w:t>
            </w:r>
          </w:p>
        </w:tc>
      </w:tr>
    </w:tbl>
    <w:p>
      <w:pPr>
        <w:spacing w:after="200"/>
      </w:pPr>
    </w:p>
    <w:p>
      <w:pPr>
        <w:pStyle w:val="Heading2"/>
        <w:spacing w:after="120" w:before="280"/>
      </w:pPr>
      <w:r>
        <w:rPr>
          <w:rFonts w:ascii="Arial" w:cs="Arial" w:eastAsia="Arial" w:hAnsi="Arial"/>
        </w:rPr>
        <w:t xml:space="preserve">4.2 GET /api/commodity-compare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Compare 2–5 crops with normalized price trends and AI signals</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Controller</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getCommodityCompare()</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names (comma-separated crop names), days (30 | 90 | 180, default 30)</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/api/commodity-compare?names=Wheat,Cotton,Bajra&amp;days=90</w:t>
            </w:r>
          </w:p>
        </w:tc>
      </w:tr>
    </w:tbl>
    <w:p>
      <w:pPr>
        <w:spacing w:after="120"/>
      </w:pPr>
    </w:p>
    <w:p>
      <w:pPr>
        <w:spacing w:after="160"/>
        <w:jc w:val="left"/>
      </w:pPr>
      <w:r>
        <w:rPr>
          <w:rFonts w:ascii="Arial" w:cs="Arial" w:eastAsia="Arial" w:hAnsi="Arial"/>
          <w:b/>
          <w:bCs/>
          <w:color w:val="1e293b"/>
          <w:sz w:val="20"/>
          <w:szCs w:val="20"/>
        </w:rPr>
        <w:t xml:space="preserve">How Normalization Works:</w:t>
      </w:r>
    </w:p>
    <w:p>
      <w:pPr>
        <w:spacing w:after="160"/>
        <w:jc w:val="left"/>
      </w:pPr>
      <w:r>
        <w:rPr>
          <w:rFonts w:ascii="Arial" w:cs="Arial" w:eastAsia="Arial" w:hAnsi="Arial"/>
          <w:b w:val="false"/>
          <w:bCs w:val="false"/>
          <w:color w:val="1e293b"/>
          <w:sz w:val="22"/>
          <w:szCs w:val="22"/>
        </w:rPr>
        <w:t xml:space="preserve">All price series are indexed to 100 on the first data point. This allows a ₹10,000/qtl crop (e.g. Cotton) and a ₹2,000/qtl crop (e.g. Wheat) to be meaningfully compared on the same chart. The indexed value is calculated as: (price / firstPrice) × 100.</w:t>
      </w:r>
    </w:p>
    <w:p>
      <w:pPr>
        <w:spacing w:after="120"/>
      </w:pPr>
    </w:p>
    <w:p>
      <w:pPr>
        <w:spacing w:after="160"/>
        <w:jc w:val="left"/>
      </w:pPr>
      <w:r>
        <w:rPr>
          <w:rFonts w:ascii="Arial" w:cs="Arial" w:eastAsia="Arial" w:hAnsi="Arial"/>
          <w:b/>
          <w:bCs/>
          <w:color w:val="1e293b"/>
          <w:sz w:val="20"/>
          <w:szCs w:val="20"/>
        </w:rPr>
        <w:t xml:space="preserve">Statistics Computed per Commodity: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72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 / Description</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((lastPrice - firstPrice) / firstPrice) × 100 — overall price change in the window</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volatility</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(stdDev / mean) × 100 — Coefficient of Variation (CV%) as volatility proxy</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avgPrice</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Arithmetic mean of all price points in the window</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minPrice / maxPrice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Absolute min and max prices within the selected window</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changeRs</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lastPrice − firstPrice in absolute rupee terms (INR/Quintal)</w:t>
            </w:r>
          </w:p>
        </w:tc>
      </w:tr>
    </w:tbl>
    <w:p>
      <w:pPr>
        <w:spacing w:after="120"/>
      </w:pPr>
    </w:p>
    <w:p>
      <w:pPr>
        <w:spacing w:after="160"/>
        <w:jc w:val="left"/>
      </w:pPr>
      <w:r>
        <w:rPr>
          <w:rFonts w:ascii="Arial" w:cs="Arial" w:eastAsia="Arial" w:hAnsi="Arial"/>
          <w:b/>
          <w:bCs/>
          <w:color w:val="1e293b"/>
          <w:sz w:val="20"/>
          <w:szCs w:val="20"/>
        </w:rPr>
        <w:t xml:space="preserve">AI Signal Logic:</w:t>
      </w:r>
    </w:p>
    <w:p>
      <w:pPr>
        <w:spacing w:after="160"/>
        <w:jc w:val="left"/>
      </w:pPr>
      <w:r>
        <w:rPr>
          <w:rFonts w:ascii="Arial" w:cs="Arial" w:eastAsia="Arial" w:hAnsi="Arial"/>
          <w:b w:val="false"/>
          <w:bCs w:val="false"/>
          <w:color w:val="1e293b"/>
          <w:sz w:val="22"/>
          <w:szCs w:val="22"/>
        </w:rPr>
        <w:t xml:space="preserve">The buildInsight() function generates a rule-based signal and plain-language recommendation based on changePct and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c>
          <w:tcPr>
            <w:tcW w:type="dxa" w:w="25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18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c>
          <w:tcPr>
            <w:tcW w:type="dxa" w:w="504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 Text Template</w:t>
            </w:r>
          </w:p>
        </w:tc>
      </w:tr>
      <w:tr>
        <w:tc>
          <w:tcPr>
            <w:tcW w:type="dxa" w:w="252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 &gt; 8%</w:t>
            </w:r>
          </w:p>
        </w:tc>
        <w:tc>
          <w:tcPr>
            <w:tcW w:type="dxa" w:w="180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bCs/>
                <w:sz w:val="20"/>
                <w:szCs w:val="20"/>
              </w:rPr>
              <w:t xml:space="preserve">strong_buy</w:t>
            </w:r>
          </w:p>
        </w:tc>
        <w:tc>
          <w:tcPr>
            <w:tcW w:type="dxa" w:w="5040"/>
            <w:tcBorders>
              <w:top w:val="single" w:color="CCCCCC" w:sz="4"/>
              <w:left w:val="single" w:color="CCCCCC" w:sz="4"/>
              <w:bottom w:val="single" w:color="CCCCCC" w:sz="4"/>
              <w:right w:val="single" w:color="CCCCCC" w:sz="4"/>
            </w:tcBorders>
            <w:shd w:fill="dcfce7"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is in a strong uptrend. Sell now to maximise gains before reversal."</w:t>
            </w:r>
          </w:p>
        </w:tc>
      </w:tr>
      <w:tr>
        <w:tc>
          <w:tcPr>
            <w:tcW w:type="dxa" w:w="2520"/>
            <w:tcBorders>
              <w:top w:val="single" w:color="CCCCCC" w:sz="4"/>
              <w:left w:val="single" w:color="CCCCCC" w:sz="4"/>
              <w:bottom w:val="single" w:color="CCCCCC" w:sz="4"/>
              <w:right w:val="single" w:color="CCCCCC" w:sz="4"/>
            </w:tcBorders>
            <w:shd w:fill="bbf7d0"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 3–8%</w:t>
            </w:r>
          </w:p>
        </w:tc>
        <w:tc>
          <w:tcPr>
            <w:tcW w:type="dxa" w:w="1800"/>
            <w:tcBorders>
              <w:top w:val="single" w:color="CCCCCC" w:sz="4"/>
              <w:left w:val="single" w:color="CCCCCC" w:sz="4"/>
              <w:bottom w:val="single" w:color="CCCCCC" w:sz="4"/>
              <w:right w:val="single" w:color="CCCCCC" w:sz="4"/>
            </w:tcBorders>
            <w:shd w:fill="bbf7d0" w:val="clear"/>
            <w:tcMar>
              <w:top w:type="dxa" w:w="80"/>
              <w:left w:type="dxa" w:w="140"/>
              <w:bottom w:type="dxa" w:w="80"/>
              <w:right w:type="dxa" w:w="140"/>
            </w:tcMar>
            <w:vAlign w:val="center"/>
          </w:tcPr>
          <w:p>
            <w:r>
              <w:rPr>
                <w:rFonts w:ascii="Arial" w:cs="Arial" w:eastAsia="Arial" w:hAnsi="Arial"/>
                <w:b/>
                <w:bCs/>
                <w:sz w:val="20"/>
                <w:szCs w:val="20"/>
              </w:rPr>
              <w:t xml:space="preserve">buy</w:t>
            </w:r>
          </w:p>
        </w:tc>
        <w:tc>
          <w:tcPr>
            <w:tcW w:type="dxa" w:w="5040"/>
            <w:tcBorders>
              <w:top w:val="single" w:color="CCCCCC" w:sz="4"/>
              <w:left w:val="single" w:color="CCCCCC" w:sz="4"/>
              <w:bottom w:val="single" w:color="CCCCCC" w:sz="4"/>
              <w:right w:val="single" w:color="CCCCCC" w:sz="4"/>
            </w:tcBorders>
            <w:shd w:fill="bbf7d0"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prices are rising. Good window to plan early sales."</w:t>
            </w:r>
          </w:p>
        </w:tc>
      </w:tr>
      <w:tr>
        <w:tc>
          <w:tcPr>
            <w:tcW w:type="dxa" w:w="25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 −3 to +3%</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stable</w:t>
            </w:r>
          </w:p>
        </w:tc>
        <w:tc>
          <w:tcPr>
            <w:tcW w:type="dxa" w:w="50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prices are stable. Good time to assess local demand."</w:t>
            </w:r>
          </w:p>
        </w:tc>
      </w:tr>
      <w:tr>
        <w:tc>
          <w:tcPr>
            <w:tcW w:type="dxa" w:w="252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 −3 to −8%</w:t>
            </w:r>
          </w:p>
        </w:tc>
        <w:tc>
          <w:tcPr>
            <w:tcW w:type="dxa" w:w="180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bCs/>
                <w:sz w:val="20"/>
                <w:szCs w:val="20"/>
              </w:rPr>
              <w:t xml:space="preserve">caution</w:t>
            </w:r>
          </w:p>
        </w:tc>
        <w:tc>
          <w:tcPr>
            <w:tcW w:type="dxa" w:w="5040"/>
            <w:tcBorders>
              <w:top w:val="single" w:color="CCCCCC" w:sz="4"/>
              <w:left w:val="single" w:color="CCCCCC" w:sz="4"/>
              <w:bottom w:val="single" w:color="CCCCCC" w:sz="4"/>
              <w:right w:val="single" w:color="CCCCCC" w:sz="4"/>
            </w:tcBorders>
            <w:shd w:fill="fef9c3"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prices are softening. Monitor closely before committing."</w:t>
            </w:r>
          </w:p>
        </w:tc>
      </w:tr>
      <w:tr>
        <w:tc>
          <w:tcPr>
            <w:tcW w:type="dxa" w:w="2520"/>
            <w:tcBorders>
              <w:top w:val="single" w:color="CCCCCC" w:sz="4"/>
              <w:left w:val="single" w:color="CCCCCC" w:sz="4"/>
              <w:bottom w:val="single" w:color="CCCCCC" w:sz="4"/>
              <w:right w:val="single" w:color="CCCCCC" w:sz="4"/>
            </w:tcBorders>
            <w:shd w:fill="fee2e2"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changePct &lt; −8%</w:t>
            </w:r>
          </w:p>
        </w:tc>
        <w:tc>
          <w:tcPr>
            <w:tcW w:type="dxa" w:w="1800"/>
            <w:tcBorders>
              <w:top w:val="single" w:color="CCCCCC" w:sz="4"/>
              <w:left w:val="single" w:color="CCCCCC" w:sz="4"/>
              <w:bottom w:val="single" w:color="CCCCCC" w:sz="4"/>
              <w:right w:val="single" w:color="CCCCCC" w:sz="4"/>
            </w:tcBorders>
            <w:shd w:fill="fee2e2" w:val="clear"/>
            <w:tcMar>
              <w:top w:type="dxa" w:w="80"/>
              <w:left w:type="dxa" w:w="140"/>
              <w:bottom w:type="dxa" w:w="80"/>
              <w:right w:type="dxa" w:w="140"/>
            </w:tcMar>
            <w:vAlign w:val="center"/>
          </w:tcPr>
          <w:p>
            <w:r>
              <w:rPr>
                <w:rFonts w:ascii="Arial" w:cs="Arial" w:eastAsia="Arial" w:hAnsi="Arial"/>
                <w:b/>
                <w:bCs/>
                <w:sz w:val="20"/>
                <w:szCs w:val="20"/>
              </w:rPr>
              <w:t xml:space="preserve">hold</w:t>
            </w:r>
          </w:p>
        </w:tc>
        <w:tc>
          <w:tcPr>
            <w:tcW w:type="dxa" w:w="5040"/>
            <w:tcBorders>
              <w:top w:val="single" w:color="CCCCCC" w:sz="4"/>
              <w:left w:val="single" w:color="CCCCCC" w:sz="4"/>
              <w:bottom w:val="single" w:color="CCCCCC" w:sz="4"/>
              <w:right w:val="single" w:color="CCCCCC" w:sz="4"/>
            </w:tcBorders>
            <w:shd w:fill="fee2e2"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prices have fallen sharply. Market is bearish — store if capacity allows."</w:t>
            </w:r>
          </w:p>
        </w:tc>
      </w:tr>
      <w:tr>
        <w:tc>
          <w:tcPr>
            <w:tcW w:type="dxa" w:w="2520"/>
            <w:tcBorders>
              <w:top w:val="single" w:color="CCCCCC" w:sz="4"/>
              <w:left w:val="single" w:color="CCCCCC" w:sz="4"/>
              <w:bottom w:val="single" w:color="CCCCCC" w:sz="4"/>
              <w:right w:val="single" w:color="CCCCCC" w:sz="4"/>
            </w:tcBorders>
            <w:shd w:fill="fce7f3" w:val="clear"/>
            <w:tcMar>
              <w:top w:type="dxa" w:w="80"/>
              <w:left w:type="dxa" w:w="140"/>
              <w:bottom w:type="dxa" w:w="80"/>
              <w:right w:type="dxa" w:w="140"/>
            </w:tcMar>
            <w:vAlign w:val="center"/>
          </w:tcPr>
          <w:p>
            <w:r>
              <w:rPr>
                <w:rFonts w:ascii="Arial" w:cs="Arial" w:eastAsia="Arial" w:hAnsi="Arial"/>
                <w:b w:val="false"/>
                <w:bCs w:val="false"/>
                <w:sz w:val="20"/>
                <w:szCs w:val="20"/>
              </w:rPr>
              <w:t xml:space="preserve">volatility &gt; 15%</w:t>
            </w:r>
          </w:p>
        </w:tc>
        <w:tc>
          <w:tcPr>
            <w:tcW w:type="dxa" w:w="1800"/>
            <w:tcBorders>
              <w:top w:val="single" w:color="CCCCCC" w:sz="4"/>
              <w:left w:val="single" w:color="CCCCCC" w:sz="4"/>
              <w:bottom w:val="single" w:color="CCCCCC" w:sz="4"/>
              <w:right w:val="single" w:color="CCCCCC" w:sz="4"/>
            </w:tcBorders>
            <w:shd w:fill="fce7f3" w:val="clear"/>
            <w:tcMar>
              <w:top w:type="dxa" w:w="80"/>
              <w:left w:type="dxa" w:w="140"/>
              <w:bottom w:type="dxa" w:w="80"/>
              <w:right w:type="dxa" w:w="140"/>
            </w:tcMar>
            <w:vAlign w:val="center"/>
          </w:tcPr>
          <w:p>
            <w:r>
              <w:rPr>
                <w:rFonts w:ascii="Arial" w:cs="Arial" w:eastAsia="Arial" w:hAnsi="Arial"/>
                <w:b w:val="false"/>
                <w:bCs w:val="false"/>
                <w:sz w:val="20"/>
                <w:szCs w:val="20"/>
              </w:rPr>
              <w:t xml:space="preserve">(modifier)</w:t>
            </w:r>
          </w:p>
        </w:tc>
        <w:tc>
          <w:tcPr>
            <w:tcW w:type="dxa" w:w="5040"/>
            <w:tcBorders>
              <w:top w:val="single" w:color="CCCCCC" w:sz="4"/>
              <w:left w:val="single" w:color="CCCCCC" w:sz="4"/>
              <w:bottom w:val="single" w:color="CCCCCC" w:sz="4"/>
              <w:right w:val="single" w:color="CCCCCC" w:sz="4"/>
            </w:tcBorders>
            <w:shd w:fill="fce7f3" w:val="clear"/>
            <w:tcMar>
              <w:top w:type="dxa" w:w="80"/>
              <w:left w:type="dxa" w:w="140"/>
              <w:bottom w:type="dxa" w:w="80"/>
              <w:right w:type="dxa" w:w="140"/>
            </w:tcMar>
            <w:vAlign w:val="center"/>
          </w:tcPr>
          <w:p>
            <w:r>
              <w:rPr>
                <w:rFonts w:ascii="Arial" w:cs="Arial" w:eastAsia="Arial" w:hAnsi="Arial"/>
                <w:b w:val="false"/>
                <w:bCs w:val="false"/>
                <w:sz w:val="20"/>
                <w:szCs w:val="20"/>
              </w:rPr>
              <w:t xml:space="preserve">Appends: "High volatility detected — prices may shift sharply." to any signal</w:t>
            </w:r>
          </w:p>
        </w:tc>
      </w:tr>
    </w:tbl>
    <w:p>
      <w:pPr>
        <w:spacing w:after="200"/>
      </w:pPr>
    </w:p>
    <w:p>
      <w:pPr>
        <w:pStyle w:val="Heading2"/>
        <w:spacing w:after="120" w:before="280"/>
      </w:pPr>
      <w:r>
        <w:rPr>
          <w:rFonts w:ascii="Arial" w:cs="Arial" w:eastAsia="Arial" w:hAnsi="Arial"/>
        </w:rPr>
        <w:t xml:space="preserve">4.3 GET /api/commodity-futures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Returns latest futures contract data for a commodity from exchange databases</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Controller</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getCommodityFutures()</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 (name string), portal ("ifp" | "oip" | "dce_bmd" | "all", default "all")</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/api/commodity-futures?commodity=Cotton&amp;portal=oip</w:t>
            </w:r>
          </w:p>
        </w:tc>
      </w:tr>
    </w:tbl>
    <w:p>
      <w:pPr>
        <w:spacing w:after="120"/>
      </w:pPr>
    </w:p>
    <w:p>
      <w:pPr>
        <w:spacing w:after="160"/>
        <w:jc w:val="left"/>
      </w:pPr>
      <w:r>
        <w:rPr>
          <w:rFonts w:ascii="Arial" w:cs="Arial" w:eastAsia="Arial" w:hAnsi="Arial"/>
          <w:b/>
          <w:bCs/>
          <w:color w:val="1e293b"/>
          <w:sz w:val="20"/>
          <w:szCs w:val="20"/>
        </w:rPr>
        <w:t xml:space="preserve">Portals / Exchanges:</w:t>
      </w:r>
    </w:p>
    <w:p>
      <w:pPr>
        <w:pStyle w:val="ListParagraph"/>
        <w:numPr>
          <w:ilvl w:val="0"/>
          <w:numId w:val="2"/>
        </w:numPr>
        <w:spacing w:after="100"/>
      </w:pPr>
      <w:r>
        <w:rPr>
          <w:rFonts w:ascii="Arial" w:cs="Arial" w:eastAsia="Arial" w:hAnsi="Arial"/>
          <w:b w:val="false"/>
          <w:bCs w:val="false"/>
          <w:sz w:val="22"/>
          <w:szCs w:val="22"/>
        </w:rPr>
        <w:t xml:space="preserve">ifp — International Futures Platform via Barchart.com. CBOT (Chicago), ICE (Intercontinental Exchange). Used for globally-traded crops (Wheat, Corn, Soybean).</w:t>
      </w:r>
    </w:p>
    <w:p>
      <w:pPr>
        <w:pStyle w:val="ListParagraph"/>
        <w:numPr>
          <w:ilvl w:val="0"/>
          <w:numId w:val="2"/>
        </w:numPr>
        <w:spacing w:after="100"/>
      </w:pPr>
      <w:r>
        <w:rPr>
          <w:rFonts w:ascii="Arial" w:cs="Arial" w:eastAsia="Arial" w:hAnsi="Arial"/>
          <w:b w:val="false"/>
          <w:bCs w:val="false"/>
          <w:sz w:val="22"/>
          <w:szCs w:val="22"/>
        </w:rPr>
        <w:t xml:space="preserve">oip — Oil &amp; India Platform. MCX (Multi Commodity Exchange) and NCDEX (National Commodity &amp; Derivatives Exchange). Used for Indian agricultural futures (Cotton, Chana, Castor, Guar, Mustard).</w:t>
      </w:r>
    </w:p>
    <w:p>
      <w:pPr>
        <w:pStyle w:val="ListParagraph"/>
        <w:numPr>
          <w:ilvl w:val="0"/>
          <w:numId w:val="2"/>
        </w:numPr>
        <w:spacing w:after="100"/>
      </w:pPr>
      <w:r>
        <w:rPr>
          <w:rFonts w:ascii="Arial" w:cs="Arial" w:eastAsia="Arial" w:hAnsi="Arial"/>
          <w:b w:val="false"/>
          <w:bCs w:val="false"/>
          <w:sz w:val="22"/>
          <w:szCs w:val="22"/>
        </w:rPr>
        <w:t xml:space="preserve">dce_bmd — Dalian Commodity Exchange / Bursa Malaysia Derivatives. Used for palm oil-related contracts.</w:t>
      </w:r>
    </w:p>
    <w:p>
      <w:pPr>
        <w:spacing w:after="120"/>
      </w:pPr>
    </w:p>
    <w:p>
      <w:pPr>
        <w:spacing w:after="160"/>
        <w:jc w:val="left"/>
      </w:pPr>
      <w:r>
        <w:rPr>
          <w:rFonts w:ascii="Arial" w:cs="Arial" w:eastAsia="Arial" w:hAnsi="Arial"/>
          <w:b w:val="false"/>
          <w:bCs w:val="false"/>
          <w:color w:val="1e293b"/>
          <w:sz w:val="22"/>
          <w:szCs w:val="22"/>
        </w:rPr>
        <w:t xml:space="preserve">Each futures contract object contains: contract (expiry month), lastPrice, changeInPrice, openPrice, highPrice, lowPrice, previousPrice, volume, openInterest, and portal identifier.</w:t>
      </w:r>
    </w:p>
    <w:p>
      <w:pPr>
        <w:spacing w:after="200"/>
      </w:pPr>
    </w:p>
    <w:p>
      <w:pPr>
        <w:pStyle w:val="Heading2"/>
        <w:spacing w:after="120" w:before="280"/>
      </w:pPr>
      <w:r>
        <w:rPr>
          <w:rFonts w:ascii="Arial" w:cs="Arial" w:eastAsia="Arial" w:hAnsi="Arial"/>
        </w:rPr>
        <w:t xml:space="preserve">4.4 GET /api/commodity-seasonality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Computes average historical price by calendar month (Jan–Dec) over all available years</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Controller</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getCommoditySeasonality()</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 (name string)</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/api/commodity-seasonality?commodity=Wheat</w:t>
            </w:r>
          </w:p>
        </w:tc>
      </w:tr>
    </w:tbl>
    <w:p>
      <w:pPr>
        <w:spacing w:after="120"/>
      </w:pPr>
    </w:p>
    <w:p>
      <w:pPr>
        <w:spacing w:after="160"/>
        <w:jc w:val="left"/>
      </w:pPr>
      <w:r>
        <w:rPr>
          <w:rFonts w:ascii="Arial" w:cs="Arial" w:eastAsia="Arial" w:hAnsi="Arial"/>
          <w:b/>
          <w:bCs/>
          <w:color w:val="1e293b"/>
          <w:sz w:val="20"/>
          <w:szCs w:val="20"/>
        </w:rPr>
        <w:t xml:space="preserve">How Seasonality is Computed:</w:t>
      </w:r>
    </w:p>
    <w:p>
      <w:pPr>
        <w:spacing w:after="160"/>
        <w:jc w:val="left"/>
      </w:pPr>
      <w:r>
        <w:rPr>
          <w:rFonts w:ascii="Arial" w:cs="Arial" w:eastAsia="Arial" w:hAnsi="Arial"/>
          <w:b w:val="false"/>
          <w:bCs w:val="false"/>
          <w:color w:val="1e293b"/>
          <w:sz w:val="22"/>
          <w:szCs w:val="22"/>
        </w:rPr>
        <w:t xml:space="preserve">The endpoint loads all historical price records for the commodity, groups them by month (1–12), and calculates a simple arithmetic average of prices in each month group. This reveals when prices are historically highest (best months to sell) and lowest (worst months to sell), helping farmers time their sales optimally.</w:t>
      </w:r>
    </w:p>
    <w:p>
      <w:pPr>
        <w:spacing w:after="120"/>
      </w:pPr>
    </w:p>
    <w:p>
      <w:pPr>
        <w:spacing w:after="160"/>
        <w:jc w:val="left"/>
      </w:pPr>
      <w:r>
        <w:rPr>
          <w:rFonts w:ascii="Arial" w:cs="Arial" w:eastAsia="Arial" w:hAnsi="Arial"/>
          <w:b w:val="false"/>
          <w:bCs w:val="false"/>
          <w:color w:val="1e293b"/>
          <w:sz w:val="22"/>
          <w:szCs w:val="22"/>
        </w:rPr>
        <w:t xml:space="preserve">Response per month: { month (1–12), monthName ("Jan"–"Dec"), avgPrice, minPrice, maxPrice, records (count) }. A dataYears array in the response shows which years contributed data, and filledMonths indicates how many of the 12 months have coverage.</w:t>
      </w:r>
    </w:p>
    <w:p>
      <w:pPr>
        <w:spacing w:after="200"/>
      </w:pPr>
    </w:p>
    <w:p>
      <w:pPr>
        <w:pStyle w:val="Heading2"/>
        <w:spacing w:after="120" w:before="280"/>
      </w:pPr>
      <w:r>
        <w:rPr>
          <w:rFonts w:ascii="Arial" w:cs="Arial" w:eastAsia="Arial" w:hAnsi="Arial"/>
        </w:rPr>
        <w:t xml:space="preserve">4.5 GET /api/mandi-spread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Groups today's prices by mandi location and identifies the best / worst mandis to sell at, plus the arbitrage spread</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Controller</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getMandiSpread()</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 Params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 (name string)</w:t>
            </w:r>
          </w:p>
        </w:tc>
      </w:tr>
      <w:tr>
        <w:tc>
          <w:tcPr>
            <w:tcW w:type="dxa" w:w="1800"/>
            <w:tcBorders>
              <w:top w:val="single" w:color="0d6e6e" w:sz="6"/>
              <w:left w:val="single" w:color="0d6e6e" w:sz="6"/>
              <w:bottom w:val="single" w:color="0d6e6e" w:sz="6"/>
              <w:right w:val="single" w:color="0d6e6e" w:sz="6"/>
            </w:tcBorders>
            <w:shd w:fill="0d6e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75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/api/mandi-spread?commodity=Cotton</w:t>
            </w:r>
          </w:p>
        </w:tc>
      </w:tr>
    </w:tbl>
    <w:p>
      <w:pPr>
        <w:spacing w:after="120"/>
      </w:pPr>
    </w:p>
    <w:p>
      <w:pPr>
        <w:spacing w:after="160"/>
        <w:jc w:val="left"/>
      </w:pPr>
      <w:r>
        <w:rPr>
          <w:rFonts w:ascii="Arial" w:cs="Arial" w:eastAsia="Arial" w:hAnsi="Arial"/>
          <w:b/>
          <w:bCs/>
          <w:color w:val="1e293b"/>
          <w:sz w:val="20"/>
          <w:szCs w:val="20"/>
        </w:rPr>
        <w:t xml:space="preserve">Spread Calculation:</w:t>
      </w:r>
    </w:p>
    <w:p>
      <w:pPr>
        <w:spacing w:after="160"/>
        <w:jc w:val="left"/>
      </w:pPr>
      <w:r>
        <w:rPr>
          <w:rFonts w:ascii="Arial" w:cs="Arial" w:eastAsia="Arial" w:hAnsi="Arial"/>
          <w:b w:val="false"/>
          <w:bCs w:val="false"/>
          <w:color w:val="1e293b"/>
          <w:sz w:val="22"/>
          <w:szCs w:val="22"/>
        </w:rPr>
        <w:t xml:space="preserve">The endpoint fetches current prices across all mandis for the commodity, computes the average modal price, and calculates each mandi's spread percentage as ((mandiPrice - avgPrice) / avgPrice) × 100. The mandi with the highest modal price is flagged as bestMandi. The spreadRange field gives the absolute difference (INR/Quintal) between highest and lowest mandi.</w:t>
      </w:r>
    </w:p>
    <w:p>
      <w:pPr>
        <w:spacing w:after="120"/>
      </w:pPr>
    </w:p>
    <w:p>
      <w:pPr>
        <w:spacing w:after="160"/>
        <w:jc w:val="left"/>
      </w:pPr>
      <w:r>
        <w:rPr>
          <w:rFonts w:ascii="Arial" w:cs="Arial" w:eastAsia="Arial" w:hAnsi="Arial"/>
          <w:b w:val="false"/>
          <w:bCs w:val="false"/>
          <w:color w:val="1e293b"/>
          <w:sz w:val="22"/>
          <w:szCs w:val="22"/>
        </w:rPr>
        <w:t xml:space="preserve">Response includes: mandis[] (sorted highest to lowest), bestMandi (name), worstMandi (name), avgPrice, spreadRange (INR/Quintal), spreadNote (plain-text insight), and source badge.</w:t>
      </w:r>
    </w:p>
    <w:p>
      <w:r>
        <w:br w:type="page"/>
      </w:r>
    </w:p>
    <w:p>
      <w:pPr>
        <w:pStyle w:val="Heading1"/>
        <w:spacing w:after="120" w:before="280"/>
      </w:pPr>
      <w:r>
        <w:rPr>
          <w:rFonts w:ascii="Arial" w:cs="Arial" w:eastAsia="Arial" w:hAnsi="Arial"/>
        </w:rPr>
        <w:t xml:space="preserve">5. Additional API Endpoints</w:t>
      </w:r>
    </w:p>
    <w:p>
      <w:pPr>
        <w:spacing w:after="160"/>
        <w:jc w:val="left"/>
      </w:pPr>
      <w:r>
        <w:rPr>
          <w:rFonts w:ascii="Arial" w:cs="Arial" w:eastAsia="Arial" w:hAnsi="Arial"/>
          <w:b w:val="false"/>
          <w:bCs w:val="false"/>
          <w:color w:val="1e293b"/>
          <w:sz w:val="22"/>
          <w:szCs w:val="22"/>
        </w:rPr>
        <w:t xml:space="preserve">Beyond the five analytics endpoints, the module exposes supporting endpoints handled by commodity.controller.js.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44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492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/api/commodities</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w:t>
            </w:r>
          </w:p>
        </w:tc>
        <w:tc>
          <w:tcPr>
            <w:tcW w:type="dxa" w:w="49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Paginated commodity list. Greenleaf API first, MongoDB fallback. Supports search, sort, page, limit.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/api/mandi-prices</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GET</w:t>
            </w:r>
          </w:p>
        </w:tc>
        <w:tc>
          <w:tcPr>
            <w:tcW w:type="dxa" w:w="4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Live mandi prices table. Greenleaf grain/oilseed API first, MongoDB fallback. Supports commodity, state, mandi, page, limit.</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/api/commodity-dashboard</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w:t>
            </w:r>
          </w:p>
        </w:tc>
        <w:tc>
          <w:tcPr>
            <w:tcW w:type="dxa" w:w="49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Dashboard summary: topRising, topFalling commodities, aggregate stats. Hybrid source (MongoDB + Greenleaf).</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/api/nearby-mandis</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GET</w:t>
            </w:r>
          </w:p>
        </w:tc>
        <w:tc>
          <w:tcPr>
            <w:tcW w:type="dxa" w:w="4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Top mandis by state / commodity with latest modal price and trend. Supports state, commodity, limit.</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/api/watchlist</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 / POST / DELETE</w:t>
            </w:r>
          </w:p>
        </w:tc>
        <w:tc>
          <w:tcPr>
            <w:tcW w:type="dxa" w:w="49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User watchlist CRUD. Enriches each watchlist item with current mandi price on GET.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/api/price-alerts</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GET / POST / PATCH</w:t>
            </w:r>
          </w:p>
        </w:tc>
        <w:tc>
          <w:tcPr>
            <w:tcW w:type="dxa" w:w="492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Price alert CRUD. Alerts stored per user with target price and commodity. Status: active | triggered.</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/api/gl/health</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GET</w:t>
            </w:r>
          </w:p>
        </w:tc>
        <w:tc>
          <w:tcPr>
            <w:tcW w:type="dxa" w:w="492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Greenleaf API health check. Returns { available, baseUrl, latency }.</w:t>
            </w:r>
          </w:p>
        </w:tc>
      </w:tr>
    </w:tbl>
    <w:p>
      <w:pPr>
        <w:spacing w:after="160"/>
      </w:pPr>
    </w:p>
    <w:p>
      <w:pPr>
        <w:pStyle w:val="Heading2"/>
        <w:spacing w:after="120" w:before="280"/>
      </w:pPr>
      <w:r>
        <w:rPr>
          <w:rFonts w:ascii="Arial" w:cs="Arial" w:eastAsia="Arial" w:hAnsi="Arial"/>
        </w:rPr>
        <w:t xml:space="preserve">5.1 Greenleaf API Proxy Endpoints</w:t>
      </w:r>
    </w:p>
    <w:p>
      <w:pPr>
        <w:spacing w:after="160"/>
        <w:jc w:val="left"/>
      </w:pPr>
      <w:r>
        <w:rPr>
          <w:rFonts w:ascii="Arial" w:cs="Arial" w:eastAsia="Arial" w:hAnsi="Arial"/>
          <w:b w:val="false"/>
          <w:bCs w:val="false"/>
          <w:color w:val="1e293b"/>
          <w:sz w:val="22"/>
          <w:szCs w:val="22"/>
        </w:rPr>
        <w:t xml:space="preserve">The module also exposes pass-through proxy endpoints for direct Greenleaf API access, primarily used for specialized data not covered by the analytics layer:</w:t>
      </w:r>
    </w:p>
    <w:p>
      <w:pPr>
        <w:pStyle w:val="ListParagraph"/>
        <w:numPr>
          <w:ilvl w:val="0"/>
          <w:numId w:val="2"/>
        </w:numPr>
        <w:spacing w:after="100"/>
      </w:pPr>
      <w:r>
        <w:rPr>
          <w:rFonts w:ascii="Arial" w:cs="Arial" w:eastAsia="Arial" w:hAnsi="Arial"/>
          <w:b w:val="false"/>
          <w:bCs w:val="false"/>
          <w:sz w:val="22"/>
          <w:szCs w:val="22"/>
        </w:rPr>
        <w:t xml:space="preserve">/api/gl/commodities — Raw Greenleaf commodity list</w:t>
      </w:r>
    </w:p>
    <w:p>
      <w:pPr>
        <w:pStyle w:val="ListParagraph"/>
        <w:numPr>
          <w:ilvl w:val="0"/>
          <w:numId w:val="2"/>
        </w:numPr>
        <w:spacing w:after="100"/>
      </w:pPr>
      <w:r>
        <w:rPr>
          <w:rFonts w:ascii="Arial" w:cs="Arial" w:eastAsia="Arial" w:hAnsi="Arial"/>
          <w:b w:val="false"/>
          <w:bCs w:val="false"/>
          <w:sz w:val="22"/>
          <w:szCs w:val="22"/>
        </w:rPr>
        <w:t xml:space="preserve">/api/gl/grains/:type/continuous — Grain (wheat/corn/rice/maize) continuous price series</w:t>
      </w:r>
    </w:p>
    <w:p>
      <w:pPr>
        <w:pStyle w:val="ListParagraph"/>
        <w:numPr>
          <w:ilvl w:val="0"/>
          <w:numId w:val="2"/>
        </w:numPr>
        <w:spacing w:after="100"/>
      </w:pPr>
      <w:r>
        <w:rPr>
          <w:rFonts w:ascii="Arial" w:cs="Arial" w:eastAsia="Arial" w:hAnsi="Arial"/>
          <w:b w:val="false"/>
          <w:bCs w:val="false"/>
          <w:sz w:val="22"/>
          <w:szCs w:val="22"/>
        </w:rPr>
        <w:t xml:space="preserve">/api/gl/grains/:type/seasonal — Seasonal data per grain type</w:t>
      </w:r>
    </w:p>
    <w:p>
      <w:pPr>
        <w:pStyle w:val="ListParagraph"/>
        <w:numPr>
          <w:ilvl w:val="0"/>
          <w:numId w:val="2"/>
        </w:numPr>
        <w:spacing w:after="100"/>
      </w:pPr>
      <w:r>
        <w:rPr>
          <w:rFonts w:ascii="Arial" w:cs="Arial" w:eastAsia="Arial" w:hAnsi="Arial"/>
          <w:b w:val="false"/>
          <w:bCs w:val="false"/>
          <w:sz w:val="22"/>
          <w:szCs w:val="22"/>
        </w:rPr>
        <w:t xml:space="preserve">/api/gl/grains/:type/cities — City list for grain data</w:t>
      </w:r>
    </w:p>
    <w:p>
      <w:pPr>
        <w:pStyle w:val="ListParagraph"/>
        <w:numPr>
          <w:ilvl w:val="0"/>
          <w:numId w:val="2"/>
        </w:numPr>
        <w:spacing w:after="100"/>
      </w:pPr>
      <w:r>
        <w:rPr>
          <w:rFonts w:ascii="Arial" w:cs="Arial" w:eastAsia="Arial" w:hAnsi="Arial"/>
          <w:b w:val="false"/>
          <w:bCs w:val="false"/>
          <w:sz w:val="22"/>
          <w:szCs w:val="22"/>
        </w:rPr>
        <w:t xml:space="preserve">/api/gl/oil-seeds/masters — Oil seed commodity master list</w:t>
      </w:r>
    </w:p>
    <w:p>
      <w:pPr>
        <w:pStyle w:val="ListParagraph"/>
        <w:numPr>
          <w:ilvl w:val="0"/>
          <w:numId w:val="2"/>
        </w:numPr>
        <w:spacing w:after="100"/>
      </w:pPr>
      <w:r>
        <w:rPr>
          <w:rFonts w:ascii="Arial" w:cs="Arial" w:eastAsia="Arial" w:hAnsi="Arial"/>
          <w:b w:val="false"/>
          <w:bCs w:val="false"/>
          <w:sz w:val="22"/>
          <w:szCs w:val="22"/>
        </w:rPr>
        <w:t xml:space="preserve">/api/gl/oil-seeds/continuous — Oil seed continuous price series</w:t>
      </w:r>
    </w:p>
    <w:p>
      <w:pPr>
        <w:pStyle w:val="ListParagraph"/>
        <w:numPr>
          <w:ilvl w:val="0"/>
          <w:numId w:val="2"/>
        </w:numPr>
        <w:spacing w:after="100"/>
      </w:pPr>
      <w:r>
        <w:rPr>
          <w:rFonts w:ascii="Arial" w:cs="Arial" w:eastAsia="Arial" w:hAnsi="Arial"/>
          <w:b w:val="false"/>
          <w:bCs w:val="false"/>
          <w:sz w:val="22"/>
          <w:szCs w:val="22"/>
        </w:rPr>
        <w:t xml:space="preserve">/api/gl/sugar/continuous — Sugar price continuous series</w:t>
      </w:r>
    </w:p>
    <w:p>
      <w:r>
        <w:br w:type="page"/>
      </w:r>
    </w:p>
    <w:p>
      <w:pPr>
        <w:pStyle w:val="Heading1"/>
        <w:spacing w:after="120" w:before="280"/>
      </w:pPr>
      <w:r>
        <w:rPr>
          <w:rFonts w:ascii="Arial" w:cs="Arial" w:eastAsia="Arial" w:hAnsi="Arial"/>
        </w:rPr>
        <w:t xml:space="preserve">6. Frontend Pages &amp; Components</w:t>
      </w:r>
    </w:p>
    <w:p>
      <w:pPr>
        <w:spacing w:after="160"/>
        <w:jc w:val="left"/>
      </w:pPr>
      <w:r>
        <w:rPr>
          <w:rFonts w:ascii="Arial" w:cs="Arial" w:eastAsia="Arial" w:hAnsi="Arial"/>
          <w:b w:val="false"/>
          <w:bCs w:val="false"/>
          <w:color w:val="1e293b"/>
          <w:sz w:val="22"/>
          <w:szCs w:val="22"/>
        </w:rPr>
        <w:t xml:space="preserve">The frontend is built in React with Recharts for charting and Tailwind CSS for styling. The module consists of three primary pages, each serving a distinct analytical persona.</w:t>
      </w:r>
    </w:p>
    <w:p>
      <w:pPr>
        <w:spacing w:after="200"/>
      </w:pPr>
    </w:p>
    <w:p>
      <w:pPr>
        <w:pStyle w:val="Heading2"/>
        <w:spacing w:after="120" w:before="280"/>
      </w:pPr>
      <w:r>
        <w:rPr>
          <w:rFonts w:ascii="Arial" w:cs="Arial" w:eastAsia="Arial" w:hAnsi="Arial"/>
        </w:rPr>
        <w:t xml:space="preserve">6.1 MarketDashboard.jsx — Landing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/module/market-intelligence or /market</w:t>
            </w:r>
          </w:p>
        </w:tc>
      </w:tr>
    </w:tbl>
    <w:p>
      <w:pPr>
        <w:spacing w:after="120"/>
      </w:pPr>
    </w:p>
    <w:p>
      <w:pPr>
        <w:spacing w:after="160"/>
        <w:jc w:val="left"/>
      </w:pPr>
      <w:r>
        <w:rPr>
          <w:rFonts w:ascii="Arial" w:cs="Arial" w:eastAsia="Arial" w:hAnsi="Arial"/>
          <w:b w:val="false"/>
          <w:bCs w:val="false"/>
          <w:color w:val="1e293b"/>
          <w:sz w:val="22"/>
          <w:szCs w:val="22"/>
        </w:rPr>
        <w:t xml:space="preserve">The market landing page provides an at-a-glance aggregated view of the agricultural commodities market. It is the entry point for both casual and professional users.</w:t>
      </w:r>
    </w:p>
    <w:p>
      <w:pPr>
        <w:spacing w:after="120"/>
      </w:pPr>
    </w:p>
    <w:p>
      <w:pPr>
        <w:spacing w:after="160"/>
        <w:jc w:val="left"/>
      </w:pPr>
      <w:r>
        <w:rPr>
          <w:rFonts w:ascii="Arial" w:cs="Arial" w:eastAsia="Arial" w:hAnsi="Arial"/>
          <w:b/>
          <w:bCs/>
          <w:color w:val="1e293b"/>
          <w:sz w:val="20"/>
          <w:szCs w:val="20"/>
        </w:rPr>
        <w:t xml:space="preserve">Components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4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Trending Commodities Strip</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Horizontal scrollable strip showing top 5–10 trending crops with last price and change%.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Summary Cards</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Quick-stat cards: Highest Volatility crop, Strongest Uptrend crop, Most Active Mandi. Each card links to the CommodityDetail page.</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Top Rising / Falling</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Two columns showing top 5 rising and top 5 falling commodities by changePercent from MandiPrice data.</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Compare CTA</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Prominent entry point to CommodityCompare.jsx with pre-selected commodity chips.</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 Grid</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Card grid of all active commodities filtered by hasTrendData flag. Click navigates to CommodityDetail.</w:t>
            </w:r>
          </w:p>
        </w:tc>
      </w:tr>
    </w:tbl>
    <w:p>
      <w:pPr>
        <w:spacing w:after="200"/>
      </w:pPr>
    </w:p>
    <w:p>
      <w:pPr>
        <w:pStyle w:val="Heading2"/>
        <w:spacing w:after="120" w:before="280"/>
      </w:pPr>
      <w:r>
        <w:rPr>
          <w:rFonts w:ascii="Arial" w:cs="Arial" w:eastAsia="Arial" w:hAnsi="Arial"/>
        </w:rPr>
        <w:t xml:space="preserve">6.2 CommodityCompare.jsx — Multi-Crop Comparison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/module/market-intelligence/compare</w:t>
            </w:r>
          </w:p>
        </w:tc>
      </w:tr>
    </w:tbl>
    <w:p>
      <w:pPr>
        <w:spacing w:after="120"/>
      </w:pPr>
    </w:p>
    <w:p>
      <w:pPr>
        <w:spacing w:after="160"/>
        <w:jc w:val="left"/>
      </w:pPr>
      <w:r>
        <w:rPr>
          <w:rFonts w:ascii="Arial" w:cs="Arial" w:eastAsia="Arial" w:hAnsi="Arial"/>
          <w:b w:val="false"/>
          <w:bCs w:val="false"/>
          <w:color w:val="1e293b"/>
          <w:sz w:val="22"/>
          <w:szCs w:val="22"/>
        </w:rPr>
        <w:t xml:space="preserve">A professional comparison tool allowing simultaneous analysis of 2–5 agricultural commodities on a single normalized chart. Designed for traders making allocation decisions.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64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Crop Selector</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Multi-select commodity picker (up to 5). Only commodities with hasTrendData=true are shown. Chips with remove button.</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Timeframe Toggle</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30 / 90 / 180 day buttons. Triggers re-fetch of /api/commodity-compare with updated days param.</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Normalized Line Chart</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Recharts LineChart with one line per crop, indexed to 100. Colored lines with tooltips showing indexed value and actual price.</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Stat Cards Row</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Per-crop stat card showing: Current Price (INR/qtl), % Change, Volatility Index, and AI Signal Pill with color coding.</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AI Signal Pills</w:t>
            </w:r>
          </w:p>
        </w:tc>
        <w:tc>
          <w:tcPr>
            <w:tcW w:type="dxa" w:w="64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 Strong Sell Now (strong_buy), 🟡 Sell Soon (buy), ⚖️ Stable (stable), 🟠 Monitor (caution), 🔴 Hold &amp; Store (hold)</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Comparison Summary</w:t>
            </w:r>
          </w:p>
        </w:tc>
        <w:tc>
          <w:tcPr>
            <w:tcW w:type="dxa" w:w="64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Auto-generated text: Best to Sell, Strongest Trend, Highest Volatility crop names surfaced from server-side summary object.</w:t>
            </w:r>
          </w:p>
        </w:tc>
      </w:tr>
    </w:tbl>
    <w:p>
      <w:pPr>
        <w:spacing w:after="200"/>
      </w:pPr>
    </w:p>
    <w:p>
      <w:pPr>
        <w:pStyle w:val="Heading2"/>
        <w:spacing w:after="120" w:before="280"/>
      </w:pPr>
      <w:r>
        <w:rPr>
          <w:rFonts w:ascii="Arial" w:cs="Arial" w:eastAsia="Arial" w:hAnsi="Arial"/>
        </w:rPr>
        <w:t xml:space="preserve">6.3 CommodityDetail.jsx — Single Crop Deep-Dive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1572c" w:sz="6"/>
              <w:left w:val="single" w:color="31572c" w:sz="6"/>
              <w:bottom w:val="single" w:color="31572c" w:sz="6"/>
              <w:right w:val="single" w:color="31572c" w:sz="6"/>
            </w:tcBorders>
            <w:shd w:fill="31572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7560"/>
            <w:tcBorders>
              <w:top w:val="single" w:color="31572c" w:sz="6"/>
              <w:left w:val="single" w:color="31572c" w:sz="6"/>
              <w:bottom w:val="single" w:color="31572c" w:sz="6"/>
              <w:right w:val="single" w:color="31572c" w:sz="6"/>
            </w:tcBorders>
            <w:shd w:fill="e8f5e9" w:val="clear"/>
            <w:tcMar>
              <w:top w:type="dxa" w:w="80"/>
              <w:left w:type="dxa" w:w="140"/>
              <w:bottom w:type="dxa" w:w="80"/>
              <w:right w:type="dxa" w:w="140"/>
            </w:tcMar>
          </w:tcPr>
          <w:p>
            <w:r>
              <w:rPr>
                <w:rFonts w:ascii="Arial" w:cs="Arial" w:eastAsia="Arial" w:hAnsi="Arial"/>
                <w:color w:val="1e293b"/>
                <w:sz w:val="20"/>
                <w:szCs w:val="20"/>
              </w:rPr>
              <w:t xml:space="preserve">/module/market-intelligence/:commodityName</w:t>
            </w:r>
          </w:p>
        </w:tc>
      </w:tr>
    </w:tbl>
    <w:p>
      <w:pPr>
        <w:spacing w:after="120"/>
      </w:pPr>
    </w:p>
    <w:p>
      <w:pPr>
        <w:spacing w:after="160"/>
        <w:jc w:val="left"/>
      </w:pPr>
      <w:r>
        <w:rPr>
          <w:rFonts w:ascii="Arial" w:cs="Arial" w:eastAsia="Arial" w:hAnsi="Arial"/>
          <w:b w:val="false"/>
          <w:bCs w:val="false"/>
          <w:color w:val="1e293b"/>
          <w:sz w:val="22"/>
          <w:szCs w:val="22"/>
        </w:rPr>
        <w:t xml:space="preserve">The comprehensive analysis page for a single selected commodity. Combines four distinct analytical views into a unified tabbed/scrolled layout.</w:t>
      </w:r>
    </w:p>
    <w:p>
      <w:pPr>
        <w:spacing w:after="160"/>
      </w:pPr>
    </w:p>
    <w:p>
      <w:pPr>
        <w:pStyle w:val="Heading3"/>
        <w:spacing w:after="120" w:before="280"/>
      </w:pPr>
      <w:r>
        <w:rPr>
          <w:rFonts w:ascii="Arial" w:cs="Arial" w:eastAsia="Arial" w:hAnsi="Arial"/>
        </w:rPr>
        <w:t xml:space="preserve">6.3.1 Overview Section (Always Visible)</w:t>
      </w:r>
    </w:p>
    <w:p>
      <w:pPr>
        <w:pStyle w:val="ListParagraph"/>
        <w:numPr>
          <w:ilvl w:val="0"/>
          <w:numId w:val="2"/>
        </w:numPr>
        <w:spacing w:after="100"/>
      </w:pPr>
      <w:r>
        <w:rPr>
          <w:rFonts w:ascii="Arial" w:cs="Arial" w:eastAsia="Arial" w:hAnsi="Arial"/>
          <w:b w:val="false"/>
          <w:bCs w:val="false"/>
          <w:sz w:val="22"/>
          <w:szCs w:val="22"/>
        </w:rPr>
        <w:t xml:space="preserve">Current Spot Price — Large typographic display of lastPrice in INR/Quintal</w:t>
      </w:r>
    </w:p>
    <w:p>
      <w:pPr>
        <w:pStyle w:val="ListParagraph"/>
        <w:numPr>
          <w:ilvl w:val="0"/>
          <w:numId w:val="2"/>
        </w:numPr>
        <w:spacing w:after="100"/>
      </w:pPr>
      <w:r>
        <w:rPr>
          <w:rFonts w:ascii="Arial" w:cs="Arial" w:eastAsia="Arial" w:hAnsi="Arial"/>
          <w:b w:val="false"/>
          <w:bCs w:val="false"/>
          <w:sz w:val="22"/>
          <w:szCs w:val="22"/>
        </w:rPr>
        <w:t xml:space="preserve">30-Day Trend Chart — Recharts AreaChart with gradient fill showing price over last 30 days</w:t>
      </w:r>
    </w:p>
    <w:p>
      <w:pPr>
        <w:pStyle w:val="ListParagraph"/>
        <w:numPr>
          <w:ilvl w:val="0"/>
          <w:numId w:val="2"/>
        </w:numPr>
        <w:spacing w:after="100"/>
      </w:pPr>
      <w:r>
        <w:rPr>
          <w:rFonts w:ascii="Arial" w:cs="Arial" w:eastAsia="Arial" w:hAnsi="Arial"/>
          <w:b w:val="false"/>
          <w:bCs w:val="false"/>
          <w:sz w:val="22"/>
          <w:szCs w:val="22"/>
        </w:rPr>
        <w:t xml:space="preserve">Change Stats — ▲/▼ indicators for absolute change (INR) and percentage change</w:t>
      </w:r>
    </w:p>
    <w:p>
      <w:pPr>
        <w:pStyle w:val="ListParagraph"/>
        <w:numPr>
          <w:ilvl w:val="0"/>
          <w:numId w:val="2"/>
        </w:numPr>
        <w:spacing w:after="100"/>
      </w:pPr>
      <w:r>
        <w:rPr>
          <w:rFonts w:ascii="Arial" w:cs="Arial" w:eastAsia="Arial" w:hAnsi="Arial"/>
          <w:b w:val="false"/>
          <w:bCs w:val="false"/>
          <w:sz w:val="22"/>
          <w:szCs w:val="22"/>
        </w:rPr>
        <w:t xml:space="preserve">AI Signal Banner — Full-width colored banner with signal text and recommendation</w:t>
      </w:r>
    </w:p>
    <w:p>
      <w:pPr>
        <w:pStyle w:val="ListParagraph"/>
        <w:numPr>
          <w:ilvl w:val="0"/>
          <w:numId w:val="2"/>
        </w:numPr>
        <w:spacing w:after="100"/>
      </w:pPr>
      <w:r>
        <w:rPr>
          <w:rFonts w:ascii="Arial" w:cs="Arial" w:eastAsia="Arial" w:hAnsi="Arial"/>
          <w:b w:val="false"/>
          <w:bCs w:val="false"/>
          <w:sz w:val="22"/>
          <w:szCs w:val="22"/>
        </w:rPr>
        <w:t xml:space="preserve">Source Badge — Small pill showing data source (Greenleaf API / Mandi Data / etc.)</w:t>
      </w:r>
    </w:p>
    <w:p>
      <w:pPr>
        <w:spacing w:after="160"/>
      </w:pPr>
    </w:p>
    <w:p>
      <w:pPr>
        <w:pStyle w:val="Heading3"/>
        <w:spacing w:after="120" w:before="280"/>
      </w:pPr>
      <w:r>
        <w:rPr>
          <w:rFonts w:ascii="Arial" w:cs="Arial" w:eastAsia="Arial" w:hAnsi="Arial"/>
        </w:rPr>
        <w:t xml:space="preserve">6.3.2 Futures Tab</w:t>
      </w:r>
    </w:p>
    <w:p>
      <w:pPr>
        <w:pStyle w:val="ListParagraph"/>
        <w:numPr>
          <w:ilvl w:val="0"/>
          <w:numId w:val="2"/>
        </w:numPr>
        <w:spacing w:after="100"/>
      </w:pPr>
      <w:r>
        <w:rPr>
          <w:rFonts w:ascii="Arial" w:cs="Arial" w:eastAsia="Arial" w:hAnsi="Arial"/>
          <w:b w:val="false"/>
          <w:bCs w:val="false"/>
          <w:sz w:val="22"/>
          <w:szCs w:val="22"/>
        </w:rPr>
        <w:t xml:space="preserve">Data table of all active futures contracts for the commodity from GlCommodityFutures</w:t>
      </w:r>
    </w:p>
    <w:p>
      <w:pPr>
        <w:pStyle w:val="ListParagraph"/>
        <w:numPr>
          <w:ilvl w:val="0"/>
          <w:numId w:val="2"/>
        </w:numPr>
        <w:spacing w:after="100"/>
      </w:pPr>
      <w:r>
        <w:rPr>
          <w:rFonts w:ascii="Arial" w:cs="Arial" w:eastAsia="Arial" w:hAnsi="Arial"/>
          <w:b w:val="false"/>
          <w:bCs w:val="false"/>
          <w:sz w:val="22"/>
          <w:szCs w:val="22"/>
        </w:rPr>
        <w:t xml:space="preserve">Columns: Contract (expiry month/code), Last Price (INR), Change (colored ▲/▼), Open, High, Low, Volume, Open Interest</w:t>
      </w:r>
    </w:p>
    <w:p>
      <w:pPr>
        <w:pStyle w:val="ListParagraph"/>
        <w:numPr>
          <w:ilvl w:val="0"/>
          <w:numId w:val="2"/>
        </w:numPr>
        <w:spacing w:after="100"/>
      </w:pPr>
      <w:r>
        <w:rPr>
          <w:rFonts w:ascii="Arial" w:cs="Arial" w:eastAsia="Arial" w:hAnsi="Arial"/>
          <w:b w:val="false"/>
          <w:bCs w:val="false"/>
          <w:sz w:val="22"/>
          <w:szCs w:val="22"/>
        </w:rPr>
        <w:t xml:space="preserve">Portal badge (MCX / CBOT / ICE) shown in card header</w:t>
      </w:r>
    </w:p>
    <w:p>
      <w:pPr>
        <w:pStyle w:val="ListParagraph"/>
        <w:numPr>
          <w:ilvl w:val="0"/>
          <w:numId w:val="2"/>
        </w:numPr>
        <w:spacing w:after="100"/>
      </w:pPr>
      <w:r>
        <w:rPr>
          <w:rFonts w:ascii="Arial" w:cs="Arial" w:eastAsia="Arial" w:hAnsi="Arial"/>
          <w:b w:val="false"/>
          <w:bCs w:val="false"/>
          <w:sz w:val="22"/>
          <w:szCs w:val="22"/>
        </w:rPr>
        <w:t xml:space="preserve">Auto-hidden if hasFuturesData = false from /api/commodity-meta</w:t>
      </w:r>
    </w:p>
    <w:p>
      <w:pPr>
        <w:spacing w:after="160"/>
      </w:pPr>
    </w:p>
    <w:p>
      <w:pPr>
        <w:pStyle w:val="Heading3"/>
        <w:spacing w:after="120" w:before="280"/>
      </w:pPr>
      <w:r>
        <w:rPr>
          <w:rFonts w:ascii="Arial" w:cs="Arial" w:eastAsia="Arial" w:hAnsi="Arial"/>
        </w:rPr>
        <w:t xml:space="preserve">6.3.3 Seasonality Tab</w:t>
      </w:r>
    </w:p>
    <w:p>
      <w:pPr>
        <w:pStyle w:val="ListParagraph"/>
        <w:numPr>
          <w:ilvl w:val="0"/>
          <w:numId w:val="2"/>
        </w:numPr>
        <w:spacing w:after="100"/>
      </w:pPr>
      <w:r>
        <w:rPr>
          <w:rFonts w:ascii="Arial" w:cs="Arial" w:eastAsia="Arial" w:hAnsi="Arial"/>
          <w:b w:val="false"/>
          <w:bCs w:val="false"/>
          <w:sz w:val="22"/>
          <w:szCs w:val="22"/>
        </w:rPr>
        <w:t xml:space="preserve">12-bar BarChart (Recharts) showing average historical price for each calendar month</w:t>
      </w:r>
    </w:p>
    <w:p>
      <w:pPr>
        <w:pStyle w:val="ListParagraph"/>
        <w:numPr>
          <w:ilvl w:val="0"/>
          <w:numId w:val="2"/>
        </w:numPr>
        <w:spacing w:after="100"/>
      </w:pPr>
      <w:r>
        <w:rPr>
          <w:rFonts w:ascii="Arial" w:cs="Arial" w:eastAsia="Arial" w:hAnsi="Arial"/>
          <w:b w:val="false"/>
          <w:bCs w:val="false"/>
          <w:sz w:val="22"/>
          <w:szCs w:val="22"/>
        </w:rPr>
        <w:t xml:space="preserve">Peak price bars highlighted in dark green (≥ 95% of the maximum month's price)</w:t>
      </w:r>
    </w:p>
    <w:p>
      <w:pPr>
        <w:pStyle w:val="ListParagraph"/>
        <w:numPr>
          <w:ilvl w:val="0"/>
          <w:numId w:val="2"/>
        </w:numPr>
        <w:spacing w:after="100"/>
      </w:pPr>
      <w:r>
        <w:rPr>
          <w:rFonts w:ascii="Arial" w:cs="Arial" w:eastAsia="Arial" w:hAnsi="Arial"/>
          <w:b w:val="false"/>
          <w:bCs w:val="false"/>
          <w:sz w:val="22"/>
          <w:szCs w:val="22"/>
        </w:rPr>
        <w:t xml:space="preserve">Footer annotation: "X/12 months with data • N total records"</w:t>
      </w:r>
    </w:p>
    <w:p>
      <w:pPr>
        <w:pStyle w:val="ListParagraph"/>
        <w:numPr>
          <w:ilvl w:val="0"/>
          <w:numId w:val="2"/>
        </w:numPr>
        <w:spacing w:after="100"/>
      </w:pPr>
      <w:r>
        <w:rPr>
          <w:rFonts w:ascii="Arial" w:cs="Arial" w:eastAsia="Arial" w:hAnsi="Arial"/>
          <w:b w:val="false"/>
          <w:bCs w:val="false"/>
          <w:sz w:val="22"/>
          <w:szCs w:val="22"/>
        </w:rPr>
        <w:t xml:space="preserve">Insight: Automatically highlights best selling months based on historical highs</w:t>
      </w:r>
    </w:p>
    <w:p>
      <w:pPr>
        <w:spacing w:after="160"/>
      </w:pPr>
    </w:p>
    <w:p>
      <w:pPr>
        <w:pStyle w:val="Heading3"/>
        <w:spacing w:after="120" w:before="280"/>
      </w:pPr>
      <w:r>
        <w:rPr>
          <w:rFonts w:ascii="Arial" w:cs="Arial" w:eastAsia="Arial" w:hAnsi="Arial"/>
        </w:rPr>
        <w:t xml:space="preserve">6.3.4 Mandi Spread Tab</w:t>
      </w:r>
    </w:p>
    <w:p>
      <w:pPr>
        <w:pStyle w:val="ListParagraph"/>
        <w:numPr>
          <w:ilvl w:val="0"/>
          <w:numId w:val="2"/>
        </w:numPr>
        <w:spacing w:after="100"/>
      </w:pPr>
      <w:r>
        <w:rPr>
          <w:rFonts w:ascii="Arial" w:cs="Arial" w:eastAsia="Arial" w:hAnsi="Arial"/>
          <w:b w:val="false"/>
          <w:bCs w:val="false"/>
          <w:sz w:val="22"/>
          <w:szCs w:val="22"/>
        </w:rPr>
        <w:t xml:space="preserve">Horizontal bar chart of top 8 mandis sorted by modal price (highest first)</w:t>
      </w:r>
    </w:p>
    <w:p>
      <w:pPr>
        <w:pStyle w:val="ListParagraph"/>
        <w:numPr>
          <w:ilvl w:val="0"/>
          <w:numId w:val="2"/>
        </w:numPr>
        <w:spacing w:after="100"/>
      </w:pPr>
      <w:r>
        <w:rPr>
          <w:rFonts w:ascii="Arial" w:cs="Arial" w:eastAsia="Arial" w:hAnsi="Arial"/>
          <w:b w:val="false"/>
          <w:bCs w:val="false"/>
          <w:sz w:val="22"/>
          <w:szCs w:val="22"/>
        </w:rPr>
        <w:t xml:space="preserve">Each bar shows mandi name, modal price (INR/qtl), and spread % vs. average</w:t>
      </w:r>
    </w:p>
    <w:p>
      <w:pPr>
        <w:pStyle w:val="ListParagraph"/>
        <w:numPr>
          <w:ilvl w:val="0"/>
          <w:numId w:val="2"/>
        </w:numPr>
        <w:spacing w:after="100"/>
      </w:pPr>
      <w:r>
        <w:rPr>
          <w:rFonts w:ascii="Arial" w:cs="Arial" w:eastAsia="Arial" w:hAnsi="Arial"/>
          <w:b w:val="false"/>
          <w:bCs w:val="false"/>
          <w:sz w:val="22"/>
          <w:szCs w:val="22"/>
        </w:rPr>
        <w:t xml:space="preserve">Summary footer: Best Mandi (name), Spread Range (INR/qtl), Average Price</w:t>
      </w:r>
    </w:p>
    <w:p>
      <w:pPr>
        <w:pStyle w:val="ListParagraph"/>
        <w:numPr>
          <w:ilvl w:val="0"/>
          <w:numId w:val="2"/>
        </w:numPr>
        <w:spacing w:after="100"/>
      </w:pPr>
      <w:r>
        <w:rPr>
          <w:rFonts w:ascii="Arial" w:cs="Arial" w:eastAsia="Arial" w:hAnsi="Arial"/>
          <w:b w:val="false"/>
          <w:bCs w:val="false"/>
          <w:sz w:val="22"/>
          <w:szCs w:val="22"/>
        </w:rPr>
        <w:t xml:space="preserve">Positive spread bars in green, negative in red</w:t>
      </w:r>
    </w:p>
    <w:p>
      <w:pPr>
        <w:pStyle w:val="ListParagraph"/>
        <w:numPr>
          <w:ilvl w:val="0"/>
          <w:numId w:val="2"/>
        </w:numPr>
        <w:spacing w:after="100"/>
      </w:pPr>
      <w:r>
        <w:rPr>
          <w:rFonts w:ascii="Arial" w:cs="Arial" w:eastAsia="Arial" w:hAnsi="Arial"/>
          <w:b w:val="false"/>
          <w:bCs w:val="false"/>
          <w:sz w:val="22"/>
          <w:szCs w:val="22"/>
        </w:rPr>
        <w:t xml:space="preserve">Auto-hidden if hasMandiData = false from /api/commodity-meta</w:t>
      </w:r>
    </w:p>
    <w:p>
      <w:pPr>
        <w:spacing w:after="160"/>
      </w:pPr>
    </w:p>
    <w:p>
      <w:pPr>
        <w:pStyle w:val="Heading3"/>
        <w:spacing w:after="120" w:before="280"/>
      </w:pPr>
      <w:r>
        <w:rPr>
          <w:rFonts w:ascii="Arial" w:cs="Arial" w:eastAsia="Arial" w:hAnsi="Arial"/>
        </w:rPr>
        <w:t xml:space="preserve">6.3.5 Sell Now CTA</w:t>
      </w:r>
    </w:p>
    <w:p>
      <w:pPr>
        <w:spacing w:after="160"/>
        <w:jc w:val="left"/>
      </w:pPr>
      <w:r>
        <w:rPr>
          <w:rFonts w:ascii="Arial" w:cs="Arial" w:eastAsia="Arial" w:hAnsi="Arial"/>
          <w:b w:val="false"/>
          <w:bCs w:val="false"/>
          <w:color w:val="1e293b"/>
          <w:sz w:val="22"/>
          <w:szCs w:val="22"/>
        </w:rPr>
        <w:t xml:space="preserve">A prominent green gradient Call-To-Action banner at the bottom of every CommodityDetail page that deep-links directly to the Marketplace sell flow with pre-filled commodity, price, and mandi parameters:</w:t>
      </w:r>
    </w:p>
    <w:p>
      <w:pPr>
        <w:shd w:fill="f8fafc" w:val="clear"/>
        <w:spacing w:after="60"/>
        <w:ind w:left="720"/>
      </w:pPr>
      <w:r>
        <w:rPr>
          <w:rFonts w:ascii="Courier New" w:cs="Courier New" w:eastAsia="Courier New" w:hAnsi="Courier New"/>
          <w:color w:val="1e293b"/>
          <w:sz w:val="18"/>
          <w:szCs w:val="18"/>
        </w:rPr>
        <w:t xml:space="preserve">/module/marketplace/sell?commodity={name}&amp;price={lastPrice}&amp;mandi={bestMandi}</w:t>
      </w:r>
    </w:p>
    <w:p>
      <w:pPr>
        <w:spacing w:after="100"/>
      </w:pPr>
    </w:p>
    <w:p>
      <w:pPr>
        <w:spacing w:after="160"/>
        <w:jc w:val="left"/>
      </w:pPr>
      <w:r>
        <w:rPr>
          <w:rFonts w:ascii="Arial" w:cs="Arial" w:eastAsia="Arial" w:hAnsi="Arial"/>
          <w:b w:val="false"/>
          <w:bCs w:val="false"/>
          <w:color w:val="1e293b"/>
          <w:sz w:val="22"/>
          <w:szCs w:val="22"/>
        </w:rPr>
        <w:t xml:space="preserve">This creates a seamless market intelligence → trade conversion funnel.</w:t>
      </w:r>
    </w:p>
    <w:p>
      <w:r>
        <w:br w:type="page"/>
      </w:r>
    </w:p>
    <w:p>
      <w:pPr>
        <w:pStyle w:val="Heading1"/>
        <w:spacing w:after="120" w:before="280"/>
      </w:pPr>
      <w:r>
        <w:rPr>
          <w:rFonts w:ascii="Arial" w:cs="Arial" w:eastAsia="Arial" w:hAnsi="Arial"/>
        </w:rPr>
        <w:t xml:space="preserve">7. Analytics Engine Deep Dive</w:t>
      </w:r>
    </w:p>
    <w:p>
      <w:pPr>
        <w:spacing w:after="160"/>
        <w:jc w:val="left"/>
      </w:pPr>
      <w:r>
        <w:rPr>
          <w:rFonts w:ascii="Arial" w:cs="Arial" w:eastAsia="Arial" w:hAnsi="Arial"/>
          <w:b w:val="false"/>
          <w:bCs w:val="false"/>
          <w:color w:val="1e293b"/>
          <w:sz w:val="22"/>
          <w:szCs w:val="22"/>
        </w:rPr>
        <w:t xml:space="preserve">This section documents the mathematical functions and algorithms that power the module's intelligence layer, implemented in commodity.analytics.controller.js.</w:t>
      </w:r>
    </w:p>
    <w:p>
      <w:pPr>
        <w:spacing w:after="160"/>
      </w:pPr>
    </w:p>
    <w:p>
      <w:pPr>
        <w:pStyle w:val="Heading2"/>
        <w:spacing w:after="120" w:before="280"/>
      </w:pPr>
      <w:r>
        <w:rPr>
          <w:rFonts w:ascii="Arial" w:cs="Arial" w:eastAsia="Arial" w:hAnsi="Arial"/>
        </w:rPr>
        <w:t xml:space="preserve">7.1 resolveCommodityIds()</w:t>
      </w:r>
    </w:p>
    <w:p>
      <w:pPr>
        <w:spacing w:after="160"/>
        <w:jc w:val="left"/>
      </w:pPr>
      <w:r>
        <w:rPr>
          <w:rFonts w:ascii="Arial" w:cs="Arial" w:eastAsia="Arial" w:hAnsi="Arial"/>
          <w:b w:val="false"/>
          <w:bCs w:val="false"/>
          <w:color w:val="1e293b"/>
          <w:sz w:val="22"/>
          <w:szCs w:val="22"/>
        </w:rPr>
        <w:t xml:space="preserve">A critical helper that resolves human-readable commodity names to their MongoDB ObjectIds. Implements a three-attempt fuzzy match:</w:t>
      </w:r>
    </w:p>
    <w:p>
      <w:pPr>
        <w:pStyle w:val="ListParagraph"/>
        <w:numPr>
          <w:ilvl w:val="0"/>
          <w:numId w:val="2"/>
        </w:numPr>
        <w:spacing w:after="100"/>
      </w:pPr>
      <w:r>
        <w:rPr>
          <w:rFonts w:ascii="Arial" w:cs="Arial" w:eastAsia="Arial" w:hAnsi="Arial"/>
          <w:b w:val="false"/>
          <w:bCs w:val="false"/>
          <w:sz w:val="22"/>
          <w:szCs w:val="22"/>
        </w:rPr>
        <w:t xml:space="preserve">Attempt 1: Exact case-insensitive match on commodity_name</w:t>
      </w:r>
    </w:p>
    <w:p>
      <w:pPr>
        <w:pStyle w:val="ListParagraph"/>
        <w:numPr>
          <w:ilvl w:val="0"/>
          <w:numId w:val="2"/>
        </w:numPr>
        <w:spacing w:after="100"/>
      </w:pPr>
      <w:r>
        <w:rPr>
          <w:rFonts w:ascii="Arial" w:cs="Arial" w:eastAsia="Arial" w:hAnsi="Arial"/>
          <w:b w:val="false"/>
          <w:bCs w:val="false"/>
          <w:sz w:val="22"/>
          <w:szCs w:val="22"/>
        </w:rPr>
        <w:t xml:space="preserve">Attempt 2: Exact case-insensitive match on parent_name</w:t>
      </w:r>
    </w:p>
    <w:p>
      <w:pPr>
        <w:pStyle w:val="ListParagraph"/>
        <w:numPr>
          <w:ilvl w:val="0"/>
          <w:numId w:val="2"/>
        </w:numPr>
        <w:spacing w:after="100"/>
      </w:pPr>
      <w:r>
        <w:rPr>
          <w:rFonts w:ascii="Arial" w:cs="Arial" w:eastAsia="Arial" w:hAnsi="Arial"/>
          <w:b w:val="false"/>
          <w:bCs w:val="false"/>
          <w:sz w:val="22"/>
          <w:szCs w:val="22"/>
        </w:rPr>
        <w:t xml:space="preserve">Attempt 3: Partial regex match on commodity_name (substring search)</w:t>
      </w:r>
    </w:p>
    <w:p>
      <w:pPr>
        <w:spacing w:after="160"/>
        <w:jc w:val="left"/>
      </w:pPr>
      <w:r>
        <w:rPr>
          <w:rFonts w:ascii="Arial" w:cs="Arial" w:eastAsia="Arial" w:hAnsi="Arial"/>
          <w:b w:val="false"/>
          <w:bCs w:val="false"/>
          <w:color w:val="1e293b"/>
          <w:sz w:val="22"/>
          <w:szCs w:val="22"/>
        </w:rPr>
        <w:t xml:space="preserve">This allows "Cotton" to resolve both the "Cotton" commodity and "COTTONKADI" variants. The function accepts arrays of names for batch resolution in a single MongoDB query pass.</w:t>
      </w:r>
    </w:p>
    <w:p>
      <w:pPr>
        <w:spacing w:after="160"/>
      </w:pPr>
    </w:p>
    <w:p>
      <w:pPr>
        <w:pStyle w:val="Heading2"/>
        <w:spacing w:after="120" w:before="280"/>
      </w:pPr>
      <w:r>
        <w:rPr>
          <w:rFonts w:ascii="Arial" w:cs="Arial" w:eastAsia="Arial" w:hAnsi="Arial"/>
        </w:rPr>
        <w:t xml:space="preserve">7.2 computeStats()</w:t>
      </w:r>
    </w:p>
    <w:p>
      <w:pPr>
        <w:spacing w:after="160"/>
        <w:jc w:val="left"/>
      </w:pPr>
      <w:r>
        <w:rPr>
          <w:rFonts w:ascii="Arial" w:cs="Arial" w:eastAsia="Arial" w:hAnsi="Arial"/>
          <w:b w:val="false"/>
          <w:bCs w:val="false"/>
          <w:color w:val="1e293b"/>
          <w:sz w:val="22"/>
          <w:szCs w:val="22"/>
        </w:rPr>
        <w:t xml:space="preserve">Given an array of numeric prices, computes the complete statistical profile used throughout the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 Field</w:t>
            </w:r>
          </w:p>
        </w:tc>
        <w:tc>
          <w:tcPr>
            <w:tcW w:type="dxa" w:w="72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Calculation</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firstPrice</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prices[0] — starting price for the window</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lastPrice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prices[prices.length - 1] — most recent price</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changeRs</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lastPrice - firstPrice (rounded to INR)</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changePct</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((lastPrice - firstPrice) / firstPrice) × 100, rounded to 2dp</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avgPrice</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Σ(prices) / N — arithmetic mean</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stdDev</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√(Σ(price - mean)² / N) — population standard deviation</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volatility</w:t>
            </w:r>
          </w:p>
        </w:tc>
        <w:tc>
          <w:tcPr>
            <w:tcW w:type="dxa" w:w="72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(stdDev / mean) × 100 — Coefficient of Variation as % proxy for risk</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minPrice / maxPrice</w:t>
            </w:r>
          </w:p>
        </w:tc>
        <w:tc>
          <w:tcPr>
            <w:tcW w:type="dxa" w:w="72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Math.min(...prices) / Math.max(...prices)</w:t>
            </w:r>
          </w:p>
        </w:tc>
      </w:tr>
    </w:tbl>
    <w:p>
      <w:pPr>
        <w:spacing w:after="160"/>
      </w:pPr>
    </w:p>
    <w:p>
      <w:pPr>
        <w:pStyle w:val="Heading2"/>
        <w:spacing w:after="120" w:before="280"/>
      </w:pPr>
      <w:r>
        <w:rPr>
          <w:rFonts w:ascii="Arial" w:cs="Arial" w:eastAsia="Arial" w:hAnsi="Arial"/>
        </w:rPr>
        <w:t xml:space="preserve">7.3 buildInsight()</w:t>
      </w:r>
    </w:p>
    <w:p>
      <w:pPr>
        <w:spacing w:after="160"/>
        <w:jc w:val="left"/>
      </w:pPr>
      <w:r>
        <w:rPr>
          <w:rFonts w:ascii="Arial" w:cs="Arial" w:eastAsia="Arial" w:hAnsi="Arial"/>
          <w:b w:val="false"/>
          <w:bCs w:val="false"/>
          <w:color w:val="1e293b"/>
          <w:sz w:val="22"/>
          <w:szCs w:val="22"/>
        </w:rPr>
        <w:t xml:space="preserve">Generates plain-language trading recommendations using a deterministic rule tree. Takes commodity name, computed stats, and data source as inputs. Produces a { text, signal } object where signal is one of: strong_buy | buy | stable | caution | hold | neutral.</w:t>
      </w:r>
    </w:p>
    <w:p>
      <w:pPr>
        <w:spacing w:after="160"/>
        <w:jc w:val="left"/>
      </w:pPr>
      <w:r>
        <w:rPr>
          <w:rFonts w:ascii="Arial" w:cs="Arial" w:eastAsia="Arial" w:hAnsi="Arial"/>
          <w:b w:val="false"/>
          <w:bCs w:val="false"/>
          <w:color w:val="1e293b"/>
          <w:sz w:val="22"/>
          <w:szCs w:val="22"/>
        </w:rPr>
        <w:t xml:space="preserve">A volatility modifier appends a risk warning to any signal when the Coefficient of Variation exceeds 15%, alerting traders to elevated price uncertainty regardless of trend direction.</w:t>
      </w:r>
    </w:p>
    <w:p>
      <w:pPr>
        <w:spacing w:after="160"/>
      </w:pPr>
    </w:p>
    <w:p>
      <w:pPr>
        <w:pStyle w:val="Heading2"/>
        <w:spacing w:after="120" w:before="280"/>
      </w:pPr>
      <w:r>
        <w:rPr>
          <w:rFonts w:ascii="Arial" w:cs="Arial" w:eastAsia="Arial" w:hAnsi="Arial"/>
        </w:rPr>
        <w:t xml:space="preserve">7.4 tryMongo() Error Boundary</w:t>
      </w:r>
    </w:p>
    <w:p>
      <w:pPr>
        <w:spacing w:after="160"/>
        <w:jc w:val="left"/>
      </w:pPr>
      <w:r>
        <w:rPr>
          <w:rFonts w:ascii="Arial" w:cs="Arial" w:eastAsia="Arial" w:hAnsi="Arial"/>
          <w:b w:val="false"/>
          <w:bCs w:val="false"/>
          <w:color w:val="1e293b"/>
          <w:sz w:val="22"/>
          <w:szCs w:val="22"/>
        </w:rPr>
        <w:t xml:space="preserve">Every MongoDB call in the analytics layer is wrapped in a tryMongo() async helper that catches and logs errors without throwing. If MongoDB is unavailable (network partition, Atlas maintenance, local dev without DB), all functions return null gracefully and the fallback chain proceeds. This design ensures zero crash risk from database connectivity issues.</w:t>
      </w:r>
    </w:p>
    <w:p>
      <w:pPr>
        <w:spacing w:after="160"/>
      </w:pPr>
    </w:p>
    <w:p>
      <w:pPr>
        <w:pStyle w:val="Heading2"/>
        <w:spacing w:after="120" w:before="280"/>
      </w:pPr>
      <w:r>
        <w:rPr>
          <w:rFonts w:ascii="Arial" w:cs="Arial" w:eastAsia="Arial" w:hAnsi="Arial"/>
        </w:rPr>
        <w:t xml:space="preserve">7.5 parseNum() / parseInt2() Helpers</w:t>
      </w:r>
    </w:p>
    <w:p>
      <w:pPr>
        <w:spacing w:after="160"/>
        <w:jc w:val="left"/>
      </w:pPr>
      <w:r>
        <w:rPr>
          <w:rFonts w:ascii="Arial" w:cs="Arial" w:eastAsia="Arial" w:hAnsi="Arial"/>
          <w:b w:val="false"/>
          <w:bCs w:val="false"/>
          <w:color w:val="1e293b"/>
          <w:sz w:val="22"/>
          <w:szCs w:val="22"/>
        </w:rPr>
        <w:t xml:space="preserve">The futures data from GlCommodityFutures stores all OHLCV values as strings (inherited from source data format). These helpers safely parse them to numbers, returning null for any empty, "null", or NaN values. This prevents NaN propagation in calculations and allows the UI to show "—" for unavailable data gracefully.</w:t>
      </w:r>
    </w:p>
    <w:p>
      <w:r>
        <w:br w:type="page"/>
      </w:r>
    </w:p>
    <w:p>
      <w:pPr>
        <w:pStyle w:val="Heading1"/>
        <w:spacing w:after="120" w:before="280"/>
      </w:pPr>
      <w:r>
        <w:rPr>
          <w:rFonts w:ascii="Arial" w:cs="Arial" w:eastAsia="Arial" w:hAnsi="Arial"/>
        </w:rPr>
        <w:t xml:space="preserve">8. Key Commodities Data Profile</w:t>
      </w:r>
    </w:p>
    <w:p>
      <w:pPr>
        <w:spacing w:after="160"/>
        <w:jc w:val="left"/>
      </w:pPr>
      <w:r>
        <w:rPr>
          <w:rFonts w:ascii="Arial" w:cs="Arial" w:eastAsia="Arial" w:hAnsi="Arial"/>
          <w:b w:val="false"/>
          <w:bCs w:val="false"/>
          <w:color w:val="1e293b"/>
          <w:sz w:val="22"/>
          <w:szCs w:val="22"/>
        </w:rPr>
        <w:t xml:space="preserve">Below is the data coverage profile for the most important agricultural commodities in the GreenleafAI platform, based on the commodityvalues collection as of May 2026.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2160"/>
        <w:gridCol w:w="1800"/>
      </w:tblGrid>
      <w:tr>
        <w:tc>
          <w:tcPr>
            <w:tcW w:type="dxa" w:w="2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Commodity</w:t>
            </w:r>
          </w:p>
        </w:tc>
        <w:tc>
          <w:tcPr>
            <w:tcW w:type="dxa" w:w="144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Records</w:t>
            </w:r>
          </w:p>
        </w:tc>
        <w:tc>
          <w:tcPr>
            <w:tcW w:type="dxa" w:w="18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21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Futures?</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Wheat</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4,406</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Rabi</w:t>
            </w:r>
          </w:p>
        </w:tc>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Grain</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 (CBOT, MCX)</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Bajra</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3,603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Grain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Limited</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Cotton</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3,039</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Fiber</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 (MCX/ICE)</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GUARSEED10</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2,213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Oilseed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Yes (MCX)</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Chana / CHANAAKL</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2,210 / 2,207</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Rabi</w:t>
            </w:r>
          </w:p>
        </w:tc>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Pulse</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 (NCDEX)</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Castor</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2,155</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Oilseed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Yes (MCX)</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Soybean / SYBEANAKL</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1,837</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Oilseed</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 (CBOT, MCX)</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Maize / MAIZE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1,828</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Kharif / Rabi</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Grain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Yes (CBOT)</w:t>
            </w:r>
          </w:p>
        </w:tc>
      </w:tr>
      <w:tr>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Moong</w:t>
            </w:r>
          </w:p>
        </w:tc>
        <w:tc>
          <w:tcPr>
            <w:tcW w:type="dxa" w:w="144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bCs/>
                <w:sz w:val="20"/>
                <w:szCs w:val="20"/>
              </w:rPr>
              <w:t xml:space="preserve">1,802</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Kharif / Zaid</w:t>
            </w:r>
          </w:p>
        </w:tc>
        <w:tc>
          <w:tcPr>
            <w:tcW w:type="dxa" w:w="21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Pulse</w:t>
            </w:r>
          </w:p>
        </w:tc>
        <w:tc>
          <w:tcPr>
            <w:tcW w:type="dxa" w:w="18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Limited</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Turmeric / TMCFGRNZM</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bCs/>
                <w:sz w:val="20"/>
                <w:szCs w:val="20"/>
              </w:rPr>
              <w:t xml:space="preserve">1,617</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Kharif</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Spice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Yes (MCX/NCDEX)</w:t>
            </w:r>
          </w:p>
        </w:tc>
      </w:tr>
    </w:tbl>
    <w:p>
      <w:r>
        <w:br w:type="page"/>
      </w:r>
    </w:p>
    <w:p>
      <w:pPr>
        <w:pStyle w:val="Heading1"/>
        <w:spacing w:after="120" w:before="280"/>
      </w:pPr>
      <w:r>
        <w:rPr>
          <w:rFonts w:ascii="Arial" w:cs="Arial" w:eastAsia="Arial" w:hAnsi="Arial"/>
        </w:rPr>
        <w:t xml:space="preserve">9. Future Enhancements &amp; Roadmap</w:t>
      </w:r>
    </w:p>
    <w:p>
      <w:pPr>
        <w:spacing w:after="160"/>
        <w:jc w:val="left"/>
      </w:pPr>
      <w:r>
        <w:rPr>
          <w:rFonts w:ascii="Arial" w:cs="Arial" w:eastAsia="Arial" w:hAnsi="Arial"/>
          <w:b w:val="false"/>
          <w:bCs w:val="false"/>
          <w:color w:val="1e293b"/>
          <w:sz w:val="22"/>
          <w:szCs w:val="22"/>
        </w:rPr>
        <w:t xml:space="preserve">The following enhancements are recommended for the next development phase to evolve the module from an agricultural intelligence tool to a full-featured agriculture trading platform.</w:t>
      </w:r>
    </w:p>
    <w:p>
      <w:pPr>
        <w:spacing w:after="160"/>
      </w:pPr>
    </w:p>
    <w:p>
      <w:pPr>
        <w:pStyle w:val="Heading2"/>
        <w:spacing w:after="120" w:before="280"/>
      </w:pPr>
      <w:r>
        <w:rPr>
          <w:rFonts w:ascii="Arial" w:cs="Arial" w:eastAsia="Arial" w:hAnsi="Arial"/>
        </w:rPr>
        <w:t xml:space="preserve">9.1 Short-Term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57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State-Level Mandi Pages</w:t>
            </w:r>
          </w:p>
        </w:tc>
        <w:tc>
          <w:tcPr>
            <w:tcW w:type="dxa" w:w="57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Dedicated StateMandiPrices.jsx page (file not found in current codebase) for browsing all mandis in a state.</w:t>
            </w:r>
          </w:p>
        </w:tc>
      </w:tr>
      <w:tr>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Price Alert Push Notifications</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Activate the existing PriceAlert model to trigger push notifications when a crop hits the user's target price.</w:t>
            </w:r>
          </w:p>
        </w:tc>
      </w:tr>
      <w:tr>
        <w:tc>
          <w:tcPr>
            <w:tcW w:type="dxa" w:w="36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Watchlist Enrichment</w:t>
            </w:r>
          </w:p>
        </w:tc>
        <w:tc>
          <w:tcPr>
            <w:tcW w:type="dxa" w:w="57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Show 7-day mini sparkline chart for each watchlist item on the dashboard.</w:t>
            </w:r>
          </w:p>
        </w:tc>
      </w:tr>
      <w:tr>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Data Freshness Indicators</w:t>
            </w:r>
          </w:p>
        </w:tc>
        <w:tc>
          <w:tcPr>
            <w:tcW w:type="dxa" w:w="5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Show "Last updated X hours ago" badge on every chart to build user trust in data recency.</w:t>
            </w:r>
          </w:p>
        </w:tc>
      </w:tr>
    </w:tbl>
    <w:p>
      <w:pPr>
        <w:spacing w:after="160"/>
      </w:pPr>
    </w:p>
    <w:p>
      <w:pPr>
        <w:pStyle w:val="Heading2"/>
        <w:spacing w:after="120" w:before="280"/>
      </w:pPr>
      <w:r>
        <w:rPr>
          <w:rFonts w:ascii="Arial" w:cs="Arial" w:eastAsia="Arial" w:hAnsi="Arial"/>
        </w:rPr>
        <w:t xml:space="preserve">9.2 Medium-Term (3–6 Months)</w:t>
      </w:r>
    </w:p>
    <w:p>
      <w:pPr>
        <w:pStyle w:val="ListParagraph"/>
        <w:numPr>
          <w:ilvl w:val="0"/>
          <w:numId w:val="2"/>
        </w:numPr>
        <w:spacing w:after="100"/>
      </w:pPr>
      <w:r>
        <w:rPr>
          <w:rFonts w:ascii="Arial" w:cs="Arial" w:eastAsia="Arial" w:hAnsi="Arial"/>
          <w:b w:val="false"/>
          <w:bCs w:val="false"/>
          <w:sz w:val="22"/>
          <w:szCs w:val="22"/>
        </w:rPr>
        <w:t xml:space="preserve">Moving Average Lines — Add 7-day and 21-day EMA overlays on trend charts for technical analysis</w:t>
      </w:r>
    </w:p>
    <w:p>
      <w:pPr>
        <w:pStyle w:val="ListParagraph"/>
        <w:numPr>
          <w:ilvl w:val="0"/>
          <w:numId w:val="2"/>
        </w:numPr>
        <w:spacing w:after="100"/>
      </w:pPr>
      <w:r>
        <w:rPr>
          <w:rFonts w:ascii="Arial" w:cs="Arial" w:eastAsia="Arial" w:hAnsi="Arial"/>
          <w:b w:val="false"/>
          <w:bCs w:val="false"/>
          <w:sz w:val="22"/>
          <w:szCs w:val="22"/>
        </w:rPr>
        <w:t xml:space="preserve">Volume-Weighted Average Price (VWAP) — Incorporate arrivalVolume to compute VWAP per mandi</w:t>
      </w:r>
    </w:p>
    <w:p>
      <w:pPr>
        <w:pStyle w:val="ListParagraph"/>
        <w:numPr>
          <w:ilvl w:val="0"/>
          <w:numId w:val="2"/>
        </w:numPr>
        <w:spacing w:after="100"/>
      </w:pPr>
      <w:r>
        <w:rPr>
          <w:rFonts w:ascii="Arial" w:cs="Arial" w:eastAsia="Arial" w:hAnsi="Arial"/>
          <w:b w:val="false"/>
          <w:bCs w:val="false"/>
          <w:sz w:val="22"/>
          <w:szCs w:val="22"/>
        </w:rPr>
        <w:t xml:space="preserve">ML Price Prediction — Replace rule-based signals with a trained regression model using historical seasonality + trend features</w:t>
      </w:r>
    </w:p>
    <w:p>
      <w:pPr>
        <w:pStyle w:val="ListParagraph"/>
        <w:numPr>
          <w:ilvl w:val="0"/>
          <w:numId w:val="2"/>
        </w:numPr>
        <w:spacing w:after="100"/>
      </w:pPr>
      <w:r>
        <w:rPr>
          <w:rFonts w:ascii="Arial" w:cs="Arial" w:eastAsia="Arial" w:hAnsi="Arial"/>
          <w:b w:val="false"/>
          <w:bCs w:val="false"/>
          <w:sz w:val="22"/>
          <w:szCs w:val="22"/>
        </w:rPr>
        <w:t xml:space="preserve">Hindi Language Toggle — Use commodity_name_other_language field to display all crop names in Hindi</w:t>
      </w:r>
    </w:p>
    <w:p>
      <w:pPr>
        <w:pStyle w:val="ListParagraph"/>
        <w:numPr>
          <w:ilvl w:val="0"/>
          <w:numId w:val="2"/>
        </w:numPr>
        <w:spacing w:after="100"/>
      </w:pPr>
      <w:r>
        <w:rPr>
          <w:rFonts w:ascii="Arial" w:cs="Arial" w:eastAsia="Arial" w:hAnsi="Arial"/>
          <w:b w:val="false"/>
          <w:bCs w:val="false"/>
          <w:sz w:val="22"/>
          <w:szCs w:val="22"/>
        </w:rPr>
        <w:t xml:space="preserve">Export to PDF/Excel — Allow traders to export price tables and charts for offline use</w:t>
      </w:r>
    </w:p>
    <w:p>
      <w:pPr>
        <w:pStyle w:val="ListParagraph"/>
        <w:numPr>
          <w:ilvl w:val="0"/>
          <w:numId w:val="2"/>
        </w:numPr>
        <w:spacing w:after="100"/>
      </w:pPr>
      <w:r>
        <w:rPr>
          <w:rFonts w:ascii="Arial" w:cs="Arial" w:eastAsia="Arial" w:hAnsi="Arial"/>
          <w:b w:val="false"/>
          <w:bCs w:val="false"/>
          <w:sz w:val="22"/>
          <w:szCs w:val="22"/>
        </w:rPr>
        <w:t xml:space="preserve">API Rate Limiting &amp; Caching — Add Redis caching for /api/commodity-meta and seasonality (low-churn data)</w:t>
      </w:r>
    </w:p>
    <w:p>
      <w:pPr>
        <w:spacing w:after="160"/>
      </w:pPr>
    </w:p>
    <w:p>
      <w:pPr>
        <w:pStyle w:val="Heading2"/>
        <w:spacing w:after="120" w:before="280"/>
      </w:pPr>
      <w:r>
        <w:rPr>
          <w:rFonts w:ascii="Arial" w:cs="Arial" w:eastAsia="Arial" w:hAnsi="Arial"/>
        </w:rPr>
        <w:t xml:space="preserve">9.3 Long-Term (6+ Months)</w:t>
      </w:r>
    </w:p>
    <w:p>
      <w:pPr>
        <w:pStyle w:val="ListParagraph"/>
        <w:numPr>
          <w:ilvl w:val="0"/>
          <w:numId w:val="2"/>
        </w:numPr>
        <w:spacing w:after="100"/>
      </w:pPr>
      <w:r>
        <w:rPr>
          <w:rFonts w:ascii="Arial" w:cs="Arial" w:eastAsia="Arial" w:hAnsi="Arial"/>
          <w:b w:val="false"/>
          <w:bCs w:val="false"/>
          <w:sz w:val="22"/>
          <w:szCs w:val="22"/>
        </w:rPr>
        <w:t xml:space="preserve">Commodity News Feed — Integrate news aggregation (government MSP announcements, weather events) with sentiment tagging per commodity</w:t>
      </w:r>
    </w:p>
    <w:p>
      <w:pPr>
        <w:pStyle w:val="ListParagraph"/>
        <w:numPr>
          <w:ilvl w:val="0"/>
          <w:numId w:val="2"/>
        </w:numPr>
        <w:spacing w:after="100"/>
      </w:pPr>
      <w:r>
        <w:rPr>
          <w:rFonts w:ascii="Arial" w:cs="Arial" w:eastAsia="Arial" w:hAnsi="Arial"/>
          <w:b w:val="false"/>
          <w:bCs w:val="false"/>
          <w:sz w:val="22"/>
          <w:szCs w:val="22"/>
        </w:rPr>
        <w:t xml:space="preserve">Trading Order Book Integration — Connect CommodityDetail directly to live buyer/seller order matching</w:t>
      </w:r>
    </w:p>
    <w:p>
      <w:pPr>
        <w:pStyle w:val="ListParagraph"/>
        <w:numPr>
          <w:ilvl w:val="0"/>
          <w:numId w:val="2"/>
        </w:numPr>
        <w:spacing w:after="100"/>
      </w:pPr>
      <w:r>
        <w:rPr>
          <w:rFonts w:ascii="Arial" w:cs="Arial" w:eastAsia="Arial" w:hAnsi="Arial"/>
          <w:b w:val="false"/>
          <w:bCs w:val="false"/>
          <w:sz w:val="22"/>
          <w:szCs w:val="22"/>
        </w:rPr>
        <w:t xml:space="preserve">Portfolio P&amp;L Tracker — Allow farmers to log their holdings and see live unrealized P&amp;L against current prices</w:t>
      </w:r>
    </w:p>
    <w:p>
      <w:pPr>
        <w:pStyle w:val="ListParagraph"/>
        <w:numPr>
          <w:ilvl w:val="0"/>
          <w:numId w:val="2"/>
        </w:numPr>
        <w:spacing w:after="100"/>
      </w:pPr>
      <w:r>
        <w:rPr>
          <w:rFonts w:ascii="Arial" w:cs="Arial" w:eastAsia="Arial" w:hAnsi="Arial"/>
          <w:b w:val="false"/>
          <w:bCs w:val="false"/>
          <w:sz w:val="22"/>
          <w:szCs w:val="22"/>
        </w:rPr>
        <w:t xml:space="preserve">Blockchain Price Certificates — Issue tamper-proof price certificates at time of sale for dispute resolution</w:t>
      </w:r>
    </w:p>
    <w:p>
      <w:pPr>
        <w:pStyle w:val="ListParagraph"/>
        <w:numPr>
          <w:ilvl w:val="0"/>
          <w:numId w:val="2"/>
        </w:numPr>
        <w:spacing w:after="100"/>
      </w:pPr>
      <w:r>
        <w:rPr>
          <w:rFonts w:ascii="Arial" w:cs="Arial" w:eastAsia="Arial" w:hAnsi="Arial"/>
          <w:b w:val="false"/>
          <w:bCs w:val="false"/>
          <w:sz w:val="22"/>
          <w:szCs w:val="22"/>
        </w:rPr>
        <w:t xml:space="preserve">API SDK for Agri-Fintechs — Expose a public-facing API for third-party insurance, credit, and logistics providers to consume price data</w:t>
      </w:r>
    </w:p>
    <w:p>
      <w:r>
        <w:br w:type="page"/>
      </w:r>
    </w:p>
    <w:p>
      <w:pPr>
        <w:pStyle w:val="Heading1"/>
        <w:spacing w:after="120" w:before="280"/>
      </w:pPr>
      <w:r>
        <w:rPr>
          <w:rFonts w:ascii="Arial" w:cs="Arial" w:eastAsia="Arial" w:hAnsi="Arial"/>
        </w:rPr>
        <w:t xml:space="preserve">10. Deployment &amp; Configuration</w:t>
      </w:r>
    </w:p>
    <w:p>
      <w:pPr>
        <w:spacing w:after="140"/>
      </w:pPr>
    </w:p>
    <w:p>
      <w:pPr>
        <w:pStyle w:val="Heading2"/>
        <w:spacing w:after="120" w:before="280"/>
      </w:pPr>
      <w:r>
        <w:rPr>
          <w:rFonts w:ascii="Arial" w:cs="Arial" w:eastAsia="Arial" w:hAnsi="Arial"/>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Variable</w:t>
            </w:r>
          </w:p>
        </w:tc>
        <w:tc>
          <w:tcPr>
            <w:tcW w:type="dxa" w:w="636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GREENLEAF_API_BASE</w:t>
            </w:r>
          </w:p>
        </w:tc>
        <w:tc>
          <w:tcPr>
            <w:tcW w:type="dxa" w:w="6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Base URL for the Greenleaf API. Checked via /api/gl/health endpoint. Module works without this (falls back to MongoDB).</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MONGODB_URI</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MongoDB Atlas connection string. Must include access to greenleaf-dev database for GlCommodity, GlCommodityValue, GlCommodityFutures models.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MONGO_AGROINDIA_URI</w:t>
            </w:r>
          </w:p>
        </w:tc>
        <w:tc>
          <w:tcPr>
            <w:tcW w:type="dxa" w:w="6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Separate connection if agroindia_ collections are in a different Atlas cluster. Falls back to MONGODB_URI if not set.</w:t>
            </w:r>
          </w:p>
        </w:tc>
      </w:tr>
    </w:tbl>
    <w:p>
      <w:pPr>
        <w:spacing w:after="160"/>
      </w:pPr>
    </w:p>
    <w:p>
      <w:pPr>
        <w:pStyle w:val="Heading2"/>
        <w:spacing w:after="120" w:before="280"/>
      </w:pPr>
      <w:r>
        <w:rPr>
          <w:rFonts w:ascii="Arial" w:cs="Arial" w:eastAsia="Arial" w:hAnsi="Arial"/>
        </w:rPr>
        <w:t xml:space="preserve">10.2 Required MongoDB Indexes</w:t>
      </w:r>
    </w:p>
    <w:p>
      <w:pPr>
        <w:spacing w:after="160"/>
        <w:jc w:val="left"/>
      </w:pPr>
      <w:r>
        <w:rPr>
          <w:rFonts w:ascii="Arial" w:cs="Arial" w:eastAsia="Arial" w:hAnsi="Arial"/>
          <w:b w:val="false"/>
          <w:bCs w:val="false"/>
          <w:color w:val="475569"/>
          <w:sz w:val="20"/>
          <w:szCs w:val="20"/>
        </w:rPr>
        <w:t xml:space="preserve">These compound indexes are critical for query performance. Missing indexes will cause full collection scans and timeouts on large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Collection</w:t>
            </w:r>
          </w:p>
        </w:tc>
        <w:tc>
          <w:tcPr>
            <w:tcW w:type="dxa" w:w="288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Index</w:t>
            </w:r>
          </w:p>
        </w:tc>
        <w:tc>
          <w:tcPr>
            <w:tcW w:type="dxa" w:w="3600"/>
            <w:tcBorders>
              <w:top w:val="single" w:color="31572c" w:sz="6"/>
              <w:left w:val="single" w:color="31572c" w:sz="6"/>
              <w:bottom w:val="single" w:color="31572c" w:sz="6"/>
              <w:right w:val="single" w:color="31572c" w:sz="6"/>
            </w:tcBorders>
            <w:shd w:fill="31572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commodityvalues</w:t>
            </w:r>
          </w:p>
        </w:tc>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 commodity_id: 1, date: -1 }</w:t>
            </w:r>
          </w:p>
        </w:tc>
        <w:tc>
          <w:tcPr>
            <w:tcW w:type="dxa" w:w="36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Compare, seasonality, detail trend queries</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commodityvalues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 commodity_id: 1, date: 1 }</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Forward-order trend queries</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commodityfutures</w:t>
            </w:r>
          </w:p>
        </w:tc>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 commodity_id: 1, date: -1 }</w:t>
            </w:r>
          </w:p>
        </w:tc>
        <w:tc>
          <w:tcPr>
            <w:tcW w:type="dxa" w:w="36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Latest futures record per commodity</w:t>
            </w:r>
          </w:p>
        </w:tc>
      </w:tr>
      <w:tr>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commodityfutures</w:t>
            </w:r>
          </w:p>
        </w:tc>
        <w:tc>
          <w:tcPr>
            <w:tcW w:type="dxa" w:w="288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 commodity_id: 1, portal: 1, date: -1 }</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r>
              <w:rPr>
                <w:rFonts w:ascii="Arial" w:cs="Arial" w:eastAsia="Arial" w:hAnsi="Arial"/>
                <w:b w:val="false"/>
                <w:bCs w:val="false"/>
                <w:sz w:val="20"/>
                <w:szCs w:val="20"/>
              </w:rPr>
              <w:t xml:space="preserve">Portal-filtered futures lookup</w:t>
            </w:r>
          </w:p>
        </w:tc>
      </w:tr>
      <w:tr>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agroindia_mandi_prices</w:t>
            </w:r>
          </w:p>
        </w:tc>
        <w:tc>
          <w:tcPr>
            <w:tcW w:type="dxa" w:w="288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 commodity: 1, mandiName: 1, priceDate: -1 }</w:t>
            </w:r>
          </w:p>
        </w:tc>
        <w:tc>
          <w:tcPr>
            <w:tcW w:type="dxa" w:w="360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vAlign w:val="center"/>
          </w:tcPr>
          <w:p>
            <w:r>
              <w:rPr>
                <w:rFonts w:ascii="Arial" w:cs="Arial" w:eastAsia="Arial" w:hAnsi="Arial"/>
                <w:b w:val="false"/>
                <w:bCs w:val="false"/>
                <w:sz w:val="20"/>
                <w:szCs w:val="20"/>
              </w:rPr>
              <w:t xml:space="preserve">Mandi spread queries and watchlist enrichment</w:t>
            </w:r>
          </w:p>
        </w:tc>
      </w:tr>
    </w:tbl>
    <w:p>
      <w:pPr>
        <w:spacing w:after="200"/>
      </w:pPr>
    </w:p>
    <w:p>
      <w:pPr>
        <w:pStyle w:val="Heading2"/>
        <w:spacing w:after="120" w:before="280"/>
      </w:pPr>
      <w:r>
        <w:rPr>
          <w:rFonts w:ascii="Arial" w:cs="Arial" w:eastAsia="Arial" w:hAnsi="Arial"/>
        </w:rPr>
        <w:t xml:space="preserve">10.3 Route Registration</w:t>
      </w:r>
    </w:p>
    <w:p>
      <w:pPr>
        <w:spacing w:after="160"/>
        <w:jc w:val="left"/>
      </w:pPr>
      <w:r>
        <w:rPr>
          <w:rFonts w:ascii="Arial" w:cs="Arial" w:eastAsia="Arial" w:hAnsi="Arial"/>
          <w:b w:val="false"/>
          <w:bCs w:val="false"/>
          <w:color w:val="1e293b"/>
          <w:sz w:val="22"/>
          <w:szCs w:val="22"/>
        </w:rPr>
        <w:t xml:space="preserve">The analytics endpoints are registered in the Express router. Ensure the following pattern is in your routes/commodity.routes.js or equivalent:</w:t>
      </w:r>
    </w:p>
    <w:p>
      <w:pPr>
        <w:shd w:fill="f8fafc" w:val="clear"/>
        <w:spacing w:after="60"/>
        <w:ind w:left="720"/>
      </w:pPr>
      <w:r>
        <w:rPr>
          <w:rFonts w:ascii="Courier New" w:cs="Courier New" w:eastAsia="Courier New" w:hAnsi="Courier New"/>
          <w:color w:val="1e293b"/>
          <w:sz w:val="18"/>
          <w:szCs w:val="18"/>
        </w:rPr>
        <w:t xml:space="preserve">import { getCommodityMeta, getCommodityCompare, getCommodityFutures,</w:t>
      </w:r>
    </w:p>
    <w:p>
      <w:pPr>
        <w:shd w:fill="f8fafc" w:val="clear"/>
        <w:spacing w:after="60"/>
        <w:ind w:left="720"/>
      </w:pPr>
      <w:r>
        <w:rPr>
          <w:rFonts w:ascii="Courier New" w:cs="Courier New" w:eastAsia="Courier New" w:hAnsi="Courier New"/>
          <w:color w:val="1e293b"/>
          <w:sz w:val="18"/>
          <w:szCs w:val="18"/>
        </w:rPr>
        <w:t xml:space="preserve">  getCommoditySeasonality, getMandiSpread } from '../controllers/commodity.analytics.controller.js';</w:t>
      </w:r>
    </w:p>
    <w:p>
      <w:pPr>
        <w:shd w:fill="f8fafc" w:val="clear"/>
        <w:spacing w:after="60"/>
        <w:ind w:left="720"/>
      </w:pPr>
      <w:r>
        <w:rPr>
          <w:rFonts w:ascii="Courier New" w:cs="Courier New" w:eastAsia="Courier New" w:hAnsi="Courier New"/>
          <w:color w:val="1e293b"/>
          <w:sz w:val="18"/>
          <w:szCs w:val="18"/>
        </w:rPr>
        <w:t xml:space="preserve"/>
      </w:r>
    </w:p>
    <w:p>
      <w:pPr>
        <w:shd w:fill="f8fafc" w:val="clear"/>
        <w:spacing w:after="60"/>
        <w:ind w:left="720"/>
      </w:pPr>
      <w:r>
        <w:rPr>
          <w:rFonts w:ascii="Courier New" w:cs="Courier New" w:eastAsia="Courier New" w:hAnsi="Courier New"/>
          <w:color w:val="1e293b"/>
          <w:sz w:val="18"/>
          <w:szCs w:val="18"/>
        </w:rPr>
        <w:t xml:space="preserve">router.get('/commodity-meta',         getCommodityMeta);</w:t>
      </w:r>
    </w:p>
    <w:p>
      <w:pPr>
        <w:shd w:fill="f8fafc" w:val="clear"/>
        <w:spacing w:after="60"/>
        <w:ind w:left="720"/>
      </w:pPr>
      <w:r>
        <w:rPr>
          <w:rFonts w:ascii="Courier New" w:cs="Courier New" w:eastAsia="Courier New" w:hAnsi="Courier New"/>
          <w:color w:val="1e293b"/>
          <w:sz w:val="18"/>
          <w:szCs w:val="18"/>
        </w:rPr>
        <w:t xml:space="preserve">router.get('/commodity-compare',      getCommodityCompare);</w:t>
      </w:r>
    </w:p>
    <w:p>
      <w:pPr>
        <w:shd w:fill="f8fafc" w:val="clear"/>
        <w:spacing w:after="60"/>
        <w:ind w:left="720"/>
      </w:pPr>
      <w:r>
        <w:rPr>
          <w:rFonts w:ascii="Courier New" w:cs="Courier New" w:eastAsia="Courier New" w:hAnsi="Courier New"/>
          <w:color w:val="1e293b"/>
          <w:sz w:val="18"/>
          <w:szCs w:val="18"/>
        </w:rPr>
        <w:t xml:space="preserve">router.get('/commodity-futures',      getCommodityFutures);</w:t>
      </w:r>
    </w:p>
    <w:p>
      <w:pPr>
        <w:shd w:fill="f8fafc" w:val="clear"/>
        <w:spacing w:after="60"/>
        <w:ind w:left="720"/>
      </w:pPr>
      <w:r>
        <w:rPr>
          <w:rFonts w:ascii="Courier New" w:cs="Courier New" w:eastAsia="Courier New" w:hAnsi="Courier New"/>
          <w:color w:val="1e293b"/>
          <w:sz w:val="18"/>
          <w:szCs w:val="18"/>
        </w:rPr>
        <w:t xml:space="preserve">router.get('/commodity-seasonality',  getCommoditySeasonality);</w:t>
      </w:r>
    </w:p>
    <w:p>
      <w:pPr>
        <w:shd w:fill="f8fafc" w:val="clear"/>
        <w:spacing w:after="60"/>
        <w:ind w:left="720"/>
      </w:pPr>
      <w:r>
        <w:rPr>
          <w:rFonts w:ascii="Courier New" w:cs="Courier New" w:eastAsia="Courier New" w:hAnsi="Courier New"/>
          <w:color w:val="1e293b"/>
          <w:sz w:val="18"/>
          <w:szCs w:val="18"/>
        </w:rPr>
        <w:t xml:space="preserve">router.get('/mandi-spread',           getMandiSpread);</w:t>
      </w:r>
    </w:p>
    <w:p>
      <w:r>
        <w:br w:type="page"/>
      </w:r>
    </w:p>
    <w:p>
      <w:pPr>
        <w:pStyle w:val="Heading1"/>
        <w:spacing w:after="120" w:before="280"/>
      </w:pPr>
      <w:r>
        <w:rPr>
          <w:rFonts w:ascii="Arial" w:cs="Arial" w:eastAsia="Arial" w:hAnsi="Arial"/>
        </w:rPr>
        <w:t xml:space="preserve">Appendix A: Response Shape Reference</w:t>
      </w:r>
    </w:p>
    <w:p>
      <w:pPr>
        <w:spacing w:after="160"/>
        <w:jc w:val="left"/>
      </w:pPr>
      <w:r>
        <w:rPr>
          <w:rFonts w:ascii="Arial" w:cs="Arial" w:eastAsia="Arial" w:hAnsi="Arial"/>
          <w:b w:val="false"/>
          <w:bCs w:val="false"/>
          <w:color w:val="1e293b"/>
          <w:sz w:val="22"/>
          <w:szCs w:val="22"/>
        </w:rPr>
        <w:t xml:space="preserve">Quick reference for all API response shapes used by the frontend components.</w:t>
      </w:r>
    </w:p>
    <w:p>
      <w:pPr>
        <w:spacing w:after="120"/>
      </w:pPr>
    </w:p>
    <w:p>
      <w:pPr>
        <w:pStyle w:val="Heading2"/>
        <w:spacing w:after="120" w:before="280"/>
      </w:pPr>
      <w:r>
        <w:rPr>
          <w:rFonts w:ascii="Arial" w:cs="Arial" w:eastAsia="Arial" w:hAnsi="Arial"/>
        </w:rPr>
        <w:t xml:space="preserve">/api/commodity-compare Response</w:t>
      </w:r>
    </w:p>
    <w:p>
      <w:pPr>
        <w:shd w:fill="f8fafc" w:val="clear"/>
        <w:spacing w:after="60"/>
        <w:ind w:left="720"/>
      </w:pPr>
      <w:r>
        <w:rPr>
          <w:rFonts w:ascii="Courier New" w:cs="Courier New" w:eastAsia="Courier New" w:hAnsi="Courier New"/>
          <w:color w:val="1e293b"/>
          <w:sz w:val="18"/>
          <w:szCs w:val="18"/>
        </w:rPr>
        <w:t xml:space="preserve">{ success: true, days: 30, commodities: ["Wheat","Cotton"],</w:t>
      </w:r>
    </w:p>
    <w:p>
      <w:pPr>
        <w:shd w:fill="f8fafc" w:val="clear"/>
        <w:spacing w:after="60"/>
        <w:ind w:left="720"/>
      </w:pPr>
      <w:r>
        <w:rPr>
          <w:rFonts w:ascii="Courier New" w:cs="Courier New" w:eastAsia="Courier New" w:hAnsi="Courier New"/>
          <w:color w:val="1e293b"/>
          <w:sz w:val="18"/>
          <w:szCs w:val="18"/>
        </w:rPr>
        <w:t xml:space="preserve">  data: {</w:t>
      </w:r>
    </w:p>
    <w:p>
      <w:pPr>
        <w:shd w:fill="f8fafc" w:val="clear"/>
        <w:spacing w:after="60"/>
        <w:ind w:left="720"/>
      </w:pPr>
      <w:r>
        <w:rPr>
          <w:rFonts w:ascii="Courier New" w:cs="Courier New" w:eastAsia="Courier New" w:hAnsi="Courier New"/>
          <w:color w:val="1e293b"/>
          <w:sz w:val="18"/>
          <w:szCs w:val="18"/>
        </w:rPr>
        <w:t xml:space="preserve">    series: {</w:t>
      </w:r>
    </w:p>
    <w:p>
      <w:pPr>
        <w:shd w:fill="f8fafc" w:val="clear"/>
        <w:spacing w:after="60"/>
        <w:ind w:left="720"/>
      </w:pPr>
      <w:r>
        <w:rPr>
          <w:rFonts w:ascii="Courier New" w:cs="Courier New" w:eastAsia="Courier New" w:hAnsi="Courier New"/>
          <w:color w:val="1e293b"/>
          <w:sz w:val="18"/>
          <w:szCs w:val="18"/>
        </w:rPr>
        <w:t xml:space="preserve">      "Wheat": { data: [{date, price, min, max, indexed}], stats: {firstPrice, lastPrice,</w:t>
      </w:r>
    </w:p>
    <w:p>
      <w:pPr>
        <w:shd w:fill="f8fafc" w:val="clear"/>
        <w:spacing w:after="60"/>
        <w:ind w:left="720"/>
      </w:pPr>
      <w:r>
        <w:rPr>
          <w:rFonts w:ascii="Courier New" w:cs="Courier New" w:eastAsia="Courier New" w:hAnsi="Courier New"/>
          <w:color w:val="1e293b"/>
          <w:sz w:val="18"/>
          <w:szCs w:val="18"/>
        </w:rPr>
        <w:t xml:space="preserve">         changeRs, changePct, volatility, avgPrice, minPrice, maxPrice},</w:t>
      </w:r>
    </w:p>
    <w:p>
      <w:pPr>
        <w:shd w:fill="f8fafc" w:val="clear"/>
        <w:spacing w:after="60"/>
        <w:ind w:left="720"/>
      </w:pPr>
      <w:r>
        <w:rPr>
          <w:rFonts w:ascii="Courier New" w:cs="Courier New" w:eastAsia="Courier New" w:hAnsi="Courier New"/>
          <w:color w:val="1e293b"/>
          <w:sz w:val="18"/>
          <w:szCs w:val="18"/>
        </w:rPr>
        <w:t xml:space="preserve">         insight: {text, signal}, source, records }</w:t>
      </w:r>
    </w:p>
    <w:p>
      <w:pPr>
        <w:shd w:fill="f8fafc" w:val="clear"/>
        <w:spacing w:after="60"/>
        <w:ind w:left="720"/>
      </w:pPr>
      <w:r>
        <w:rPr>
          <w:rFonts w:ascii="Courier New" w:cs="Courier New" w:eastAsia="Courier New" w:hAnsi="Courier New"/>
          <w:color w:val="1e293b"/>
          <w:sz w:val="18"/>
          <w:szCs w:val="18"/>
        </w:rPr>
        <w:t xml:space="preserve">    },</w:t>
      </w:r>
    </w:p>
    <w:p>
      <w:pPr>
        <w:shd w:fill="f8fafc" w:val="clear"/>
        <w:spacing w:after="60"/>
        <w:ind w:left="720"/>
      </w:pPr>
      <w:r>
        <w:rPr>
          <w:rFonts w:ascii="Courier New" w:cs="Courier New" w:eastAsia="Courier New" w:hAnsi="Courier New"/>
          <w:color w:val="1e293b"/>
          <w:sz w:val="18"/>
          <w:szCs w:val="18"/>
        </w:rPr>
        <w:t xml:space="preserve">    summary: { bestToSell, strongestTrend, highestVolatility }</w:t>
      </w:r>
    </w:p>
    <w:p>
      <w:pPr>
        <w:shd w:fill="f8fafc" w:val="clear"/>
        <w:spacing w:after="60"/>
        <w:ind w:left="720"/>
      </w:pPr>
      <w:r>
        <w:rPr>
          <w:rFonts w:ascii="Courier New" w:cs="Courier New" w:eastAsia="Courier New" w:hAnsi="Courier New"/>
          <w:color w:val="1e293b"/>
          <w:sz w:val="18"/>
          <w:szCs w:val="18"/>
        </w:rPr>
        <w:t xml:space="preserve">  }</w:t>
      </w:r>
    </w:p>
    <w:p>
      <w:pPr>
        <w:shd w:fill="f8fafc" w:val="clear"/>
        <w:spacing w:after="60"/>
        <w:ind w:left="720"/>
      </w:pPr>
      <w:r>
        <w:rPr>
          <w:rFonts w:ascii="Courier New" w:cs="Courier New" w:eastAsia="Courier New" w:hAnsi="Courier New"/>
          <w:color w:val="1e293b"/>
          <w:sz w:val="18"/>
          <w:szCs w:val="18"/>
        </w:rPr>
        <w:t xml:space="preserve">}</w:t>
      </w:r>
    </w:p>
    <w:p>
      <w:pPr>
        <w:spacing w:after="160"/>
      </w:pPr>
    </w:p>
    <w:p>
      <w:pPr>
        <w:pStyle w:val="Heading2"/>
        <w:spacing w:after="120" w:before="280"/>
      </w:pPr>
      <w:r>
        <w:rPr>
          <w:rFonts w:ascii="Arial" w:cs="Arial" w:eastAsia="Arial" w:hAnsi="Arial"/>
        </w:rPr>
        <w:t xml:space="preserve">/api/commodity-futures Response</w:t>
      </w:r>
    </w:p>
    <w:p>
      <w:pPr>
        <w:shd w:fill="f8fafc" w:val="clear"/>
        <w:spacing w:after="60"/>
        <w:ind w:left="720"/>
      </w:pPr>
      <w:r>
        <w:rPr>
          <w:rFonts w:ascii="Courier New" w:cs="Courier New" w:eastAsia="Courier New" w:hAnsi="Courier New"/>
          <w:color w:val="1e293b"/>
          <w:sz w:val="18"/>
          <w:szCs w:val="18"/>
        </w:rPr>
        <w:t xml:space="preserve">{ success: true, source: "gl_futures",</w:t>
      </w:r>
    </w:p>
    <w:p>
      <w:pPr>
        <w:shd w:fill="f8fafc" w:val="clear"/>
        <w:spacing w:after="60"/>
        <w:ind w:left="720"/>
      </w:pPr>
      <w:r>
        <w:rPr>
          <w:rFonts w:ascii="Courier New" w:cs="Courier New" w:eastAsia="Courier New" w:hAnsi="Courier New"/>
          <w:color w:val="1e293b"/>
          <w:sz w:val="18"/>
          <w:szCs w:val="18"/>
        </w:rPr>
        <w:t xml:space="preserve">  data: { commodity, latestDate, portal, source,</w:t>
      </w:r>
    </w:p>
    <w:p>
      <w:pPr>
        <w:shd w:fill="f8fafc" w:val="clear"/>
        <w:spacing w:after="60"/>
        <w:ind w:left="720"/>
      </w:pPr>
      <w:r>
        <w:rPr>
          <w:rFonts w:ascii="Courier New" w:cs="Courier New" w:eastAsia="Courier New" w:hAnsi="Courier New"/>
          <w:color w:val="1e293b"/>
          <w:sz w:val="18"/>
          <w:szCs w:val="18"/>
        </w:rPr>
        <w:t xml:space="preserve">    contracts: [{ contract, lastPrice, changeInPrice, openPrice,</w:t>
      </w:r>
    </w:p>
    <w:p>
      <w:pPr>
        <w:shd w:fill="f8fafc" w:val="clear"/>
        <w:spacing w:after="60"/>
        <w:ind w:left="720"/>
      </w:pPr>
      <w:r>
        <w:rPr>
          <w:rFonts w:ascii="Courier New" w:cs="Courier New" w:eastAsia="Courier New" w:hAnsi="Courier New"/>
          <w:color w:val="1e293b"/>
          <w:sz w:val="18"/>
          <w:szCs w:val="18"/>
        </w:rPr>
        <w:t xml:space="preserve">      highPrice, lowPrice, previousPrice, volume, openInterest, portal }]</w:t>
      </w:r>
    </w:p>
    <w:p>
      <w:pPr>
        <w:shd w:fill="f8fafc" w:val="clear"/>
        <w:spacing w:after="60"/>
        <w:ind w:left="720"/>
      </w:pPr>
      <w:r>
        <w:rPr>
          <w:rFonts w:ascii="Courier New" w:cs="Courier New" w:eastAsia="Courier New" w:hAnsi="Courier New"/>
          <w:color w:val="1e293b"/>
          <w:sz w:val="18"/>
          <w:szCs w:val="18"/>
        </w:rPr>
        <w:t xml:space="preserve">  }</w:t>
      </w:r>
    </w:p>
    <w:p>
      <w:pPr>
        <w:shd w:fill="f8fafc" w:val="clear"/>
        <w:spacing w:after="60"/>
        <w:ind w:left="720"/>
      </w:pPr>
      <w:r>
        <w:rPr>
          <w:rFonts w:ascii="Courier New" w:cs="Courier New" w:eastAsia="Courier New" w:hAnsi="Courier New"/>
          <w:color w:val="1e293b"/>
          <w:sz w:val="18"/>
          <w:szCs w:val="18"/>
        </w:rPr>
        <w:t xml:space="preserve">}</w:t>
      </w:r>
    </w:p>
    <w:p>
      <w:pPr>
        <w:spacing w:after="160"/>
      </w:pPr>
    </w:p>
    <w:p>
      <w:pPr>
        <w:pStyle w:val="Heading2"/>
        <w:spacing w:after="120" w:before="280"/>
      </w:pPr>
      <w:r>
        <w:rPr>
          <w:rFonts w:ascii="Arial" w:cs="Arial" w:eastAsia="Arial" w:hAnsi="Arial"/>
        </w:rPr>
        <w:t xml:space="preserve">/api/commodity-seasonality Response</w:t>
      </w:r>
    </w:p>
    <w:p>
      <w:pPr>
        <w:shd w:fill="f8fafc" w:val="clear"/>
        <w:spacing w:after="60"/>
        <w:ind w:left="720"/>
      </w:pPr>
      <w:r>
        <w:rPr>
          <w:rFonts w:ascii="Courier New" w:cs="Courier New" w:eastAsia="Courier New" w:hAnsi="Courier New"/>
          <w:color w:val="1e293b"/>
          <w:sz w:val="18"/>
          <w:szCs w:val="18"/>
        </w:rPr>
        <w:t xml:space="preserve">{ success: true, source: "gl_values",</w:t>
      </w:r>
    </w:p>
    <w:p>
      <w:pPr>
        <w:shd w:fill="f8fafc" w:val="clear"/>
        <w:spacing w:after="60"/>
        <w:ind w:left="720"/>
      </w:pPr>
      <w:r>
        <w:rPr>
          <w:rFonts w:ascii="Courier New" w:cs="Courier New" w:eastAsia="Courier New" w:hAnsi="Courier New"/>
          <w:color w:val="1e293b"/>
          <w:sz w:val="18"/>
          <w:szCs w:val="18"/>
        </w:rPr>
        <w:t xml:space="preserve">  data: { commodity, dataYears: [2024,2025,2026], filledMonths: 12, totalRecords: 4406,</w:t>
      </w:r>
    </w:p>
    <w:p>
      <w:pPr>
        <w:shd w:fill="f8fafc" w:val="clear"/>
        <w:spacing w:after="60"/>
        <w:ind w:left="720"/>
      </w:pPr>
      <w:r>
        <w:rPr>
          <w:rFonts w:ascii="Courier New" w:cs="Courier New" w:eastAsia="Courier New" w:hAnsi="Courier New"/>
          <w:color w:val="1e293b"/>
          <w:sz w:val="18"/>
          <w:szCs w:val="18"/>
        </w:rPr>
        <w:t xml:space="preserve">    monthly: [{ month: 1, monthName: "Jan", avgPrice, minPrice, maxPrice, records },...],</w:t>
      </w:r>
    </w:p>
    <w:p>
      <w:pPr>
        <w:shd w:fill="f8fafc" w:val="clear"/>
        <w:spacing w:after="60"/>
        <w:ind w:left="720"/>
      </w:pPr>
      <w:r>
        <w:rPr>
          <w:rFonts w:ascii="Courier New" w:cs="Courier New" w:eastAsia="Courier New" w:hAnsi="Courier New"/>
          <w:color w:val="1e293b"/>
          <w:sz w:val="18"/>
          <w:szCs w:val="18"/>
        </w:rPr>
        <w:t xml:space="preserve">    note: "Based on N years of historical data"</w:t>
      </w:r>
    </w:p>
    <w:p>
      <w:pPr>
        <w:shd w:fill="f8fafc" w:val="clear"/>
        <w:spacing w:after="60"/>
        <w:ind w:left="720"/>
      </w:pPr>
      <w:r>
        <w:rPr>
          <w:rFonts w:ascii="Courier New" w:cs="Courier New" w:eastAsia="Courier New" w:hAnsi="Courier New"/>
          <w:color w:val="1e293b"/>
          <w:sz w:val="18"/>
          <w:szCs w:val="18"/>
        </w:rPr>
        <w:t xml:space="preserve">  }</w:t>
      </w:r>
    </w:p>
    <w:p>
      <w:pPr>
        <w:shd w:fill="f8fafc" w:val="clear"/>
        <w:spacing w:after="60"/>
        <w:ind w:left="720"/>
      </w:pPr>
      <w:r>
        <w:rPr>
          <w:rFonts w:ascii="Courier New" w:cs="Courier New" w:eastAsia="Courier New" w:hAnsi="Courier New"/>
          <w:color w:val="1e293b"/>
          <w:sz w:val="18"/>
          <w:szCs w:val="18"/>
        </w:rPr>
        <w:t xml:space="preserve">}</w:t>
      </w:r>
    </w:p>
    <w:p>
      <w:pPr>
        <w:spacing w:after="160"/>
      </w:pPr>
    </w:p>
    <w:p>
      <w:pPr>
        <w:pStyle w:val="Heading2"/>
        <w:spacing w:after="120" w:before="280"/>
      </w:pPr>
      <w:r>
        <w:rPr>
          <w:rFonts w:ascii="Arial" w:cs="Arial" w:eastAsia="Arial" w:hAnsi="Arial"/>
        </w:rPr>
        <w:t xml:space="preserve">/api/mandi-spread Response</w:t>
      </w:r>
    </w:p>
    <w:p>
      <w:pPr>
        <w:shd w:fill="f8fafc" w:val="clear"/>
        <w:spacing w:after="60"/>
        <w:ind w:left="720"/>
      </w:pPr>
      <w:r>
        <w:rPr>
          <w:rFonts w:ascii="Courier New" w:cs="Courier New" w:eastAsia="Courier New" w:hAnsi="Courier New"/>
          <w:color w:val="1e293b"/>
          <w:sz w:val="18"/>
          <w:szCs w:val="18"/>
        </w:rPr>
        <w:t xml:space="preserve">{ success: true, source: "agroindia_mandi",</w:t>
      </w:r>
    </w:p>
    <w:p>
      <w:pPr>
        <w:shd w:fill="f8fafc" w:val="clear"/>
        <w:spacing w:after="60"/>
        <w:ind w:left="720"/>
      </w:pPr>
      <w:r>
        <w:rPr>
          <w:rFonts w:ascii="Courier New" w:cs="Courier New" w:eastAsia="Courier New" w:hAnsi="Courier New"/>
          <w:color w:val="1e293b"/>
          <w:sz w:val="18"/>
          <w:szCs w:val="18"/>
        </w:rPr>
        <w:t xml:space="preserve">  data: { commodity, avgPrice, bestMandi, worstMandi, spreadRange, spreadNote,</w:t>
      </w:r>
    </w:p>
    <w:p>
      <w:pPr>
        <w:shd w:fill="f8fafc" w:val="clear"/>
        <w:spacing w:after="60"/>
        <w:ind w:left="720"/>
      </w:pPr>
      <w:r>
        <w:rPr>
          <w:rFonts w:ascii="Courier New" w:cs="Courier New" w:eastAsia="Courier New" w:hAnsi="Courier New"/>
          <w:color w:val="1e293b"/>
          <w:sz w:val="18"/>
          <w:szCs w:val="18"/>
        </w:rPr>
        <w:t xml:space="preserve">    mandis: [{ mandiName, modalPrice, minPrice, maxPrice, spreadPct, state }]</w:t>
      </w:r>
    </w:p>
    <w:p>
      <w:pPr>
        <w:shd w:fill="f8fafc" w:val="clear"/>
        <w:spacing w:after="60"/>
        <w:ind w:left="720"/>
      </w:pPr>
      <w:r>
        <w:rPr>
          <w:rFonts w:ascii="Courier New" w:cs="Courier New" w:eastAsia="Courier New" w:hAnsi="Courier New"/>
          <w:color w:val="1e293b"/>
          <w:sz w:val="18"/>
          <w:szCs w:val="18"/>
        </w:rPr>
        <w:t xml:space="preserve">  }</w:t>
      </w:r>
    </w:p>
    <w:p>
      <w:pPr>
        <w:shd w:fill="f8fafc" w:val="clear"/>
        <w:spacing w:after="60"/>
        <w:ind w:left="720"/>
      </w:pPr>
      <w:r>
        <w:rPr>
          <w:rFonts w:ascii="Courier New" w:cs="Courier New" w:eastAsia="Courier New" w:hAnsi="Courier New"/>
          <w:color w:val="1e293b"/>
          <w:sz w:val="18"/>
          <w:szCs w:val="18"/>
        </w:rPr>
        <w:t xml:space="preserve">}</w:t>
      </w:r>
    </w:p>
    <w:p>
      <w:pPr>
        <w:spacing w:after="200"/>
      </w:pPr>
    </w:p>
    <w:p>
      <w:pPr>
        <w:pBdr>
          <w:bottom w:val="single" w:color="31572c" w:sz="6" w:space="1"/>
        </w:pBdr>
        <w:spacing w:after="120" w:before="120"/>
      </w:pPr>
    </w:p>
    <w:p>
      <w:pPr>
        <w:spacing w:after="120"/>
      </w:pPr>
    </w:p>
    <w:p>
      <w:pPr>
        <w:spacing w:after="160"/>
        <w:jc w:val="center"/>
      </w:pPr>
      <w:r>
        <w:rPr>
          <w:rFonts w:ascii="Arial" w:cs="Arial" w:eastAsia="Arial" w:hAnsi="Arial"/>
          <w:b/>
          <w:bCs/>
          <w:color w:val="31572c"/>
          <w:sz w:val="20"/>
          <w:szCs w:val="20"/>
        </w:rPr>
        <w:t xml:space="preserve">GreenleafAI — Commodities Module Documentation v1.0</w:t>
      </w:r>
    </w:p>
    <w:p>
      <w:pPr>
        <w:spacing w:after="160"/>
        <w:jc w:val="center"/>
      </w:pPr>
      <w:r>
        <w:rPr>
          <w:rFonts w:ascii="Arial" w:cs="Arial" w:eastAsia="Arial" w:hAnsi="Arial"/>
          <w:b w:val="false"/>
          <w:bCs w:val="false"/>
          <w:color w:val="475569"/>
          <w:sz w:val="18"/>
          <w:szCs w:val="18"/>
        </w:rPr>
        <w:t xml:space="preserve">For questions, contact the GreenleafAI engineering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59" w:sz="4" w:space="2"/>
      </w:pBdr>
      <w:tabs>
        <w:tab w:val="right" w:pos="9026"/>
      </w:tabs>
      <w:spacing w:before="80"/>
    </w:pPr>
    <w:r>
      <w:rPr>
        <w:rFonts w:ascii="Arial" w:cs="Arial" w:eastAsia="Arial" w:hAnsi="Arial"/>
        <w:color w:val="475569"/>
        <w:sz w:val="16"/>
        <w:szCs w:val="16"/>
      </w:rPr>
      <w:t xml:space="preserve">Confidential — GreenleafAI Internal Documentation</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1572c" w:sz="6" w:space="2"/>
      </w:pBdr>
      <w:tabs>
        <w:tab w:val="right" w:pos="9026"/>
      </w:tabs>
      <w:spacing w:after="80"/>
    </w:pPr>
    <w:r>
      <w:rPr>
        <w:rFonts w:ascii="Arial" w:cs="Arial" w:eastAsia="Arial" w:hAnsi="Arial"/>
        <w:b/>
        <w:bCs/>
        <w:color w:val="31572c"/>
        <w:sz w:val="18"/>
        <w:szCs w:val="18"/>
      </w:rPr>
      <w:t xml:space="preserve">GreenleafAI — Commodities Module Documentation</w:t>
    </w:r>
    <w:r>
      <w:rPr>
        <w:rFonts w:ascii="Arial" w:cs="Arial" w:eastAsia="Arial" w:hAnsi="Arial"/>
        <w:sz w:val="18"/>
        <w:szCs w:val="18"/>
      </w:rPr>
      <w:t xml:space="preserve">	</w:t>
    </w:r>
    <w:r>
      <w:rPr>
        <w:rFonts w:ascii="Arial" w:cs="Arial" w:eastAsia="Arial" w:hAnsi="Arial"/>
        <w:color w:val="475569"/>
        <w:sz w:val="18"/>
        <w:szCs w:val="18"/>
      </w:rPr>
      <w:t xml:space="preserve">Market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1572c" w:sz="8" w:space="2"/>
      </w:pBdr>
      <w:spacing w:after="180" w:before="360"/>
      <w:outlineLvl w:val="0"/>
    </w:pPr>
    <w:rPr>
      <w:rFonts w:ascii="Arial" w:cs="Arial" w:eastAsia="Arial" w:hAnsi="Arial"/>
      <w:b/>
      <w:bCs/>
      <w:color w:val="31572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a7c5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6e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2026-05-31T13:00:16.449Z</dcterms:created>
  <dcterms:modified xsi:type="dcterms:W3CDTF">2026-05-31T13:00:16.461Z</dcterms:modified>
</cp:coreProperties>
</file>

<file path=docProps/custom.xml><?xml version="1.0" encoding="utf-8"?>
<Properties xmlns="http://schemas.openxmlformats.org/officeDocument/2006/custom-properties" xmlns:vt="http://schemas.openxmlformats.org/officeDocument/2006/docPropsVTypes"/>
</file>