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Online Retail Conversion Prediction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Will a website visitor make a purchase?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Binary Classification  |  Python  |  Scikit-learn  |  Imbalanced-learn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E-commerce businesses invest heavily in driving website traffic, but converting visitors into buyers remains the core challenge. This project builds a machine learning model to predict whether a website session will result in a purchase — enabling businesses to identify high-intent visitors and take targeted action in real time.</w:t>
      </w:r>
    </w:p>
    <w:p>
      <w:pPr>
        <w:spacing w:after="12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Online Shoppers Purchasing Intention Dataset — UCI Machine Learning Repository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12,330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(behavioral + technical)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(True = Purchase, False = No Purchase)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Distribution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84.5% No Purchase  |  15.5% Purchase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captures user session data including pages visited, time spent, bounce/exit rates, page values, visitor type, and the month of visit.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Key Challenges Addressed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Class Imbalance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15.5% of sessions resulted in a purchase. A naive model predicting 'No Purchase' for everyone would achieve 84.5% accuracy without learning anything useful. This was addressed using SMOTE (Synthetic Minority Oversampling Technique) on the training data only — never on the test set — to create a balanced training set without leaking test information.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Overfitting in Decision Tree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unconstrained Decision Tree achieved 100% training accuracy but significantly lower test accuracy — a textbook overfitting case. This was demonstrated visually through a train vs test accuracy chart across depths 1 to 20, and resolved using GridSearchCV to find optimal hyperparameters.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Feature Redundancy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BounceRates and ExitRates showed a strong positive correlation (0.91), indicating multicollinearity. Feature importance analysis confirmed several features contributed minimal predictive signal, leading to a leaner model using the top 10 features.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Exploratory Data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 class imbalance — 10,422 no-purchase vs 1,908 purchase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Found November has the highest purchase volume, likely driven by festive sales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Returning visitors show a higher conversion rate than new visitors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Sessions ending in purchase have significantly lower bounce and exit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PageValues showed the strongest visual separation between buyers and non-buyers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 Encoding applied to categorical columns: Month, VisitorType, Weekend,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Train-test split: 80/20 with stratify=Revenue and random_state=42 for reproducibility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StandardScaler applied to training data only for Logistic Regression (fit on train, transform on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Tree-based models used unscaled data since they are scale-invariant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SMOTE — Handling Class Imbalance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Applied SMOTE only to training data after the train-test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Balanced training set: 8,332 No Purchase vs 8,332 Purchase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set kept untouched to reflect real-world distribution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Models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Logistic Regression — linear baseline, benefits from feature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Tree — default (to demonstrate overfitting), then tuned via GridSearchCV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Forest — ensemble of 100 trees, most robust to noise and overfitting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Decision Tree Tuning — GridSearchCV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GridSearchCV searched 108 hyperparameter combinations using 5-fold cross-validation with F1 as the scoring metric (chosen over accuracy because of class imbalance).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Searched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gini, 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5, 6, 7, 8, 9, 10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min_samples_split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25, 30, 35, 40, 45, 50, 75, 90, 100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Cross-Validated F1 Score: 0.90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Feature Importance &amp;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Random Forest feature importances were used to rank all 17 features. The model was retrained on only the top 10 features to test whether a leaner model could match full performance.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680"/>
        <w:gridCol w:w="414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0.4883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ExitRates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0.0872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ProductRelated_Duration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Administrative_Duration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ProductRelated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0.0458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Model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 (GridSearch)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metrics above are calculated on the held-out test set (2,466 sessions) using the actual class distribution (not SMOTE-balanced), ensuring fair evaluation against real-world data.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Random Forest performed best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Ensemble of 100 decision trees reduces variance through averaging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Robust to outliers and does not require feature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Naturally handles non-linear relationships in the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Less prone to overfitting compared to a single Decision Tree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Selection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Retraining Random Forest on top 10 features (dropping 7 low-importance features) produced almost identical performance — AUC-ROC 0.91, F1 0.64 vs 0.66. This confirms the 7 dropped features were contributing noise rather than signal, and a leaner model is preferable for production deployment.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 Business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PageValues drives conversion more than any other feature (48.8% importance). E-commerce teams should prioritize optimizing product pages that score high on page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Lower Exit Rates strongly correlate with purchase. Improving UI/UX on high-exit pages — better CTAs, faster load times, clearer product information — can directly improve conversion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November sees the highest purchase volume, likely festive season. Marketing budgets should be intensified in October-November for maximum ROI.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Returning visitors convert at a higher rate than new visitors. Loyalty programs and personalized re-engagement campaigns can leverage this behavioral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BounceRates and ExitRates are highly correlated (0.91). Including both creates multicollinearity — future work could drop one or use PCA to reduce dimensionality.</w:t>
      </w:r>
    </w:p>
    <w:p>
      <w:pPr>
        <w:spacing w:after="120"/>
      </w:pPr>
    </w:p>
    <w:p>
      <w:pPr>
        <w:shd w:fill="EBF3FB" w:val="clear"/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Business Recommendation: Deploy the Random Forest model to score live website sessions in real-time. Flag high-probability buyers for targeted interventions — personalized discounts, cart reminders, or live chat prompts — to maximize conversion rate without wasting marketing spend on low-intent visitors.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Manipulation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(LR, DT, RF, GridSearchCV)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Imbalanced-learn (SMOTE)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 Resume Bullet Point</w:t>
      </w:r>
    </w:p>
    <w:p>
      <w:pPr>
        <w:spacing w:after="40" w:before="16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Online Retail Conversion Prediction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Python, Scikit-learn, Imbalanced-learn</w:t>
      </w:r>
    </w:p>
    <w:p>
      <w:pPr>
        <w:spacing w:after="160"/>
        <w:ind w:left="240"/>
      </w:pPr>
      <w:r>
        <w:rPr>
          <w:rFonts w:ascii="Arial" w:cs="Arial" w:eastAsia="Arial" w:hAnsi="Arial"/>
          <w:sz w:val="22"/>
          <w:szCs w:val="22"/>
        </w:rPr>
        <w:t xml:space="preserve">Built a binary classification model to predict e-commerce purchase intent from 12,330 user sessions. Addressed 85:15 class imbalance using SMOTE. Compared Logistic Regression, Decision Tree, and Random Forest; demonstrated overfitting using depth-accuracy analysis and resolved it with GridSearchCV (108 combinations, 5-fold CV, F1 scoring). Achieved AUC-ROC of 0.91 with Random Forest. Identified PageValues and ExitRates as top conversion drivers with actionable business recommendations.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Online Retail Conversion Prediction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2026-05-26T22:06:40.882Z</dcterms:created>
  <dcterms:modified xsi:type="dcterms:W3CDTF">2026-05-26T22:06:40.883Z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