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0"/>
      </w:pPr>
    </w:p>
    <w:p>
      <w:pPr>
        <w:jc w:val="center"/>
      </w:pPr>
      <w:r>
        <w:rPr>
          <w:rFonts w:ascii="Arial" w:cs="Arial" w:eastAsia="Arial" w:hAnsi="Arial"/>
          <w:b/>
          <w:bCs/>
          <w:color w:val="1A1A2E"/>
          <w:sz w:val="72"/>
          <w:szCs w:val="72"/>
        </w:rPr>
        <w:t xml:space="preserve">MAOS</w:t>
      </w:r>
    </w:p>
    <w:p>
      <w:pPr>
        <w:spacing w:after="100"/>
        <w:jc w:val="center"/>
      </w:pPr>
      <w:r>
        <w:rPr>
          <w:rFonts w:ascii="Arial" w:cs="Arial" w:eastAsia="Arial" w:hAnsi="Arial"/>
          <w:color w:val="2E75B6"/>
          <w:sz w:val="34"/>
          <w:szCs w:val="34"/>
        </w:rPr>
        <w:t xml:space="preserve">Architecture Overview</w:t>
      </w:r>
    </w:p>
    <w:p>
      <w:pPr>
        <w:spacing w:after="300"/>
        <w:jc w:val="center"/>
      </w:pPr>
      <w:r>
        <w:rPr>
          <w:rFonts w:ascii="Arial" w:cs="Arial" w:eastAsia="Arial" w:hAnsi="Arial"/>
          <w:color w:val="666666"/>
          <w:sz w:val="24"/>
          <w:szCs w:val="24"/>
        </w:rPr>
        <w:t xml:space="preserve">Die Kernarchitektur auf 18 Seiten — mit Diagrammen</w:t>
      </w:r>
    </w:p>
    <w:p>
      <w:pPr>
        <w:spacing w:after="80"/>
        <w:jc w:val="center"/>
      </w:pPr>
      <w:r>
        <w:rPr>
          <w:rFonts w:ascii="Arial" w:cs="Arial" w:eastAsia="Arial" w:hAnsi="Arial"/>
          <w:color w:val="999999"/>
          <w:sz w:val="20"/>
          <w:szCs w:val="20"/>
        </w:rPr>
        <w:t xml:space="preserve">Version 5.8 • Practical Convergence Edition</w:t>
      </w:r>
    </w:p>
    <w:p>
      <w:pPr>
        <w:jc w:val="center"/>
      </w:pPr>
      <w:r>
        <w:rPr>
          <w:rFonts w:ascii="Arial" w:cs="Arial" w:eastAsia="Arial" w:hAnsi="Arial"/>
          <w:color w:val="999999"/>
          <w:sz w:val="20"/>
          <w:szCs w:val="20"/>
        </w:rPr>
        <w:t xml:space="preserve">März 2026 • Udo Hellmann</w:t>
      </w:r>
    </w:p>
    <w:p>
      <w:r>
        <w:br w:type="page"/>
      </w:r>
    </w:p>
    <w:p>
      <w:pPr>
        <w:pStyle w:val="Heading1"/>
      </w:pPr>
      <w:r>
        <w:t xml:space="preserve">1. Gesamte Systemarchitektur</w:t>
      </w:r>
    </w:p>
    <w:p>
      <w:pPr>
        <w:spacing w:after="130"/>
      </w:pPr>
      <w:r>
        <w:rPr>
          <w:rFonts w:ascii="Arial" w:cs="Arial" w:eastAsia="Arial" w:hAnsi="Arial"/>
          <w:sz w:val="22"/>
          <w:szCs w:val="22"/>
        </w:rPr>
        <w:t xml:space="preserve">MAOS ist als Betriebssystem für KI-Agenten konzipiert. Es organisiert Agenten in vier Schutzringen, mediiert alle externen Effekte durch ein zentrales Commit Layer, und sichert das System durch einen deterministischen Sicherheitskern (DSC), der unabhängig von jedem LLM arbeitet.</w:t>
      </w:r>
    </w:p>
    <w:p>
      <w:pPr>
        <w:spacing w:before="140" w:after="140"/>
        <w:jc w:val="center"/>
      </w:pPr>
      <w:r>
        <w:drawing>
          <wp:inline distT="0" distB="0" distL="0" distR="0">
            <wp:extent cx="5715000" cy="4095750"/>
            <wp:effectExtent t="0" r="0" b="0" l="0"/>
            <wp:docPr id="1" name="01_system_architecture" descr="01_system_architecture" title="01_system_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4095750"/>
                    </a:xfrm>
                    <a:prstGeom prst="rect">
                      <a:avLst/>
                    </a:prstGeom>
                  </pic:spPr>
                </pic:pic>
              </a:graphicData>
            </a:graphic>
          </wp:inline>
        </w:drawing>
      </w:r>
    </w:p>
    <w:p>
      <w:pPr>
        <w:spacing w:after="130"/>
      </w:pPr>
      <w:r>
        <w:rPr>
          <w:rFonts w:ascii="Arial" w:cs="Arial" w:eastAsia="Arial" w:hAnsi="Arial"/>
          <w:sz w:val="22"/>
          <w:szCs w:val="22"/>
        </w:rPr>
        <w:t xml:space="preserve">Ring 0 (Kernel) enthält den DSC, Dispatcher, Commit Layer, WAL, Boot Manager und Watchdog. Kein Agent-Code läuft jemals in Ring 0. Ring 1 bietet elf System Services. Ring 2 beherbergt verifizierte Agenten, Ring 3 nicht-verifizierte Agenten in Sandboxes. Alle externen Effekte laufen ausschließlich durch das Commit Layer — der einzige Pfad zur Außenwelt.</w:t>
      </w:r>
    </w:p>
    <w:p>
      <w:pPr>
        <w:spacing w:after="60"/>
      </w:pPr>
      <w:r>
        <w:rPr>
          <w:rFonts w:ascii="Arial" w:cs="Arial" w:eastAsia="Arial" w:hAnsi="Arial"/>
          <w:i/>
          <w:iCs/>
          <w:color w:val="2E75B6"/>
          <w:sz w:val="18"/>
          <w:szCs w:val="18"/>
        </w:rPr>
        <w:t xml:space="preserve">▶ Vollständige Spezifikation: §1 System Architecture, §7 Protection Rings</w:t>
      </w:r>
    </w:p>
    <w:p>
      <w:r>
        <w:br w:type="page"/>
      </w:r>
    </w:p>
    <w:p>
      <w:pPr>
        <w:pStyle w:val="Heading1"/>
      </w:pPr>
      <w:r>
        <w:t xml:space="preserve">2. Die Sicherheits-Pipeline</w:t>
      </w:r>
    </w:p>
    <w:p>
      <w:pPr>
        <w:spacing w:after="130"/>
      </w:pPr>
      <w:r>
        <w:rPr>
          <w:rFonts w:ascii="Arial" w:cs="Arial" w:eastAsia="Arial" w:hAnsi="Arial"/>
          <w:sz w:val="22"/>
          <w:szCs w:val="22"/>
        </w:rPr>
        <w:t xml:space="preserve">Jede Agent-Aktion mit Seiteneffekten durchläuft eine siebenstufige Pipeline. Der DSC führt sieben deterministische Prüfungen durch. Der SSE (Semantic Security Evaluator) fügt semantische Analyse als Defense-in-Depth hinzu. Beide können blocken.</w:t>
      </w:r>
    </w:p>
    <w:p>
      <w:pPr>
        <w:spacing w:before="140" w:after="140"/>
        <w:jc w:val="center"/>
      </w:pPr>
      <w:r>
        <w:drawing>
          <wp:inline distT="0" distB="0" distL="0" distR="0">
            <wp:extent cx="5715000" cy="2000250"/>
            <wp:effectExtent t="0" r="0" b="0" l="0"/>
            <wp:docPr id="1" name="02_security_pipeline" descr="02_security_pipeline" title="02_security_pipe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2000250"/>
                    </a:xfrm>
                    <a:prstGeom prst="rect">
                      <a:avLst/>
                    </a:prstGeom>
                  </pic:spPr>
                </pic:pic>
              </a:graphicData>
            </a:graphic>
          </wp:inline>
        </w:drawing>
      </w:r>
    </w:p>
    <w:p>
      <w:pPr>
        <w:pStyle w:val="Heading2"/>
      </w:pPr>
      <w:r>
        <w:t xml:space="preserve">Die sieben DSC-Checks</w:t>
      </w:r>
    </w:p>
    <w:p>
      <w:pPr>
        <w:spacing w:after="130"/>
      </w:pPr>
      <w:r>
        <w:rPr>
          <w:rFonts w:ascii="Arial" w:cs="Arial" w:eastAsia="Arial" w:hAnsi="Arial"/>
          <w:sz w:val="22"/>
          <w:szCs w:val="22"/>
        </w:rPr>
        <w:t xml:space="preserve">Jeder Check ist deterministisch — kein LLM-Urteil, keine Interpretation. Wenn ein Check fehlschlägt, wird die Aktion sofort abgelehnt.</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600"/>
        <w:gridCol w:w="4500"/>
        <w:gridCol w:w="4406"/>
      </w:tblGrid>
      <w:tr>
        <w:tc>
          <w:tcPr>
            <w:tcW w:type="dxa" w:w="600"/>
            <w:tcBorders>
              <w:top w:val="single" w:color="CCCCCC" w:sz="1"/>
              <w:left w:val="single" w:color="CCCCCC" w:sz="1"/>
              <w:bottom w:val="single" w:color="CCCCCC" w:sz="1"/>
              <w:right w:val="single" w:color="CCCCCC" w:sz="1"/>
            </w:tcBorders>
            <w:shd w:fill="1A1A2E" w:val="clear"/>
            <w:tcMar>
              <w:top w:type="dxa" w:w="80"/>
              <w:left w:type="dxa" w:w="120"/>
              <w:bottom w:type="dxa" w:w="80"/>
              <w:right w:type="dxa" w:w="120"/>
            </w:tcMar>
          </w:tcPr>
          <w:p>
            <w:r>
              <w:rPr>
                <w:rFonts w:ascii="Arial" w:cs="Arial" w:eastAsia="Arial" w:hAnsi="Arial"/>
                <w:b/>
                <w:bCs/>
                <w:color w:val="FFFFFF"/>
                <w:sz w:val="19"/>
                <w:szCs w:val="19"/>
              </w:rPr>
              <w:t xml:space="preserve">Check</w:t>
            </w:r>
          </w:p>
        </w:tc>
        <w:tc>
          <w:tcPr>
            <w:tcW w:type="dxa" w:w="4500"/>
            <w:tcBorders>
              <w:top w:val="single" w:color="CCCCCC" w:sz="1"/>
              <w:left w:val="single" w:color="CCCCCC" w:sz="1"/>
              <w:bottom w:val="single" w:color="CCCCCC" w:sz="1"/>
              <w:right w:val="single" w:color="CCCCCC" w:sz="1"/>
            </w:tcBorders>
            <w:shd w:fill="1A1A2E" w:val="clear"/>
            <w:tcMar>
              <w:top w:type="dxa" w:w="80"/>
              <w:left w:type="dxa" w:w="120"/>
              <w:bottom w:type="dxa" w:w="80"/>
              <w:right w:type="dxa" w:w="120"/>
            </w:tcMar>
          </w:tcPr>
          <w:p>
            <w:r>
              <w:rPr>
                <w:rFonts w:ascii="Arial" w:cs="Arial" w:eastAsia="Arial" w:hAnsi="Arial"/>
                <w:b/>
                <w:bCs/>
                <w:color w:val="FFFFFF"/>
                <w:sz w:val="19"/>
                <w:szCs w:val="19"/>
              </w:rPr>
              <w:t xml:space="preserve">Prüfung</w:t>
            </w:r>
          </w:p>
        </w:tc>
        <w:tc>
          <w:tcPr>
            <w:tcW w:type="dxa" w:w="4406"/>
            <w:tcBorders>
              <w:top w:val="single" w:color="CCCCCC" w:sz="1"/>
              <w:left w:val="single" w:color="CCCCCC" w:sz="1"/>
              <w:bottom w:val="single" w:color="CCCCCC" w:sz="1"/>
              <w:right w:val="single" w:color="CCCCCC" w:sz="1"/>
            </w:tcBorders>
            <w:shd w:fill="1A1A2E" w:val="clear"/>
            <w:tcMar>
              <w:top w:type="dxa" w:w="80"/>
              <w:left w:type="dxa" w:w="120"/>
              <w:bottom w:type="dxa" w:w="80"/>
              <w:right w:type="dxa" w:w="120"/>
            </w:tcMar>
          </w:tcPr>
          <w:p>
            <w:r>
              <w:rPr>
                <w:rFonts w:ascii="Arial" w:cs="Arial" w:eastAsia="Arial" w:hAnsi="Arial"/>
                <w:b/>
                <w:bCs/>
                <w:color w:val="FFFFFF"/>
                <w:sz w:val="19"/>
                <w:szCs w:val="19"/>
              </w:rPr>
              <w:t xml:space="preserve">Schutzziel</w:t>
            </w:r>
          </w:p>
        </w:tc>
      </w:tr>
      <w:tr>
        <w:tc>
          <w:tcPr>
            <w:tcW w:type="dxa" w:w="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1</w:t>
            </w:r>
          </w:p>
        </w:tc>
        <w:tc>
          <w:tcPr>
            <w:tcW w:type="dxa" w:w="4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Capability Token Validation — kryptographische Signaturprüfung</w:t>
            </w:r>
          </w:p>
        </w:tc>
        <w:tc>
          <w:tcPr>
            <w:tcW w:type="dxa" w:w="440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Nur autorisierte Aktionen</w:t>
            </w:r>
          </w:p>
        </w:tc>
      </w:tr>
      <w:tr>
        <w:tc>
          <w:tcPr>
            <w:tcW w:type="dxa" w:w="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2</w:t>
            </w:r>
          </w:p>
        </w:tc>
        <w:tc>
          <w:tcPr>
            <w:tcW w:type="dxa" w:w="4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Rate Limit Enforcement — Anfragen pro Zeitfenster</w:t>
            </w:r>
          </w:p>
        </w:tc>
        <w:tc>
          <w:tcPr>
            <w:tcW w:type="dxa" w:w="440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DoS-Schutz</w:t>
            </w:r>
          </w:p>
        </w:tc>
      </w:tr>
      <w:tr>
        <w:tc>
          <w:tcPr>
            <w:tcW w:type="dxa" w:w="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3</w:t>
            </w:r>
          </w:p>
        </w:tc>
        <w:tc>
          <w:tcPr>
            <w:tcW w:type="dxa" w:w="4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Budget Verification — Token-/API-Budget</w:t>
            </w:r>
          </w:p>
        </w:tc>
        <w:tc>
          <w:tcPr>
            <w:tcW w:type="dxa" w:w="440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Kostenkontrolle</w:t>
            </w:r>
          </w:p>
        </w:tc>
      </w:tr>
      <w:tr>
        <w:tc>
          <w:tcPr>
            <w:tcW w:type="dxa" w:w="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4</w:t>
            </w:r>
          </w:p>
        </w:tc>
        <w:tc>
          <w:tcPr>
            <w:tcW w:type="dxa" w:w="4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IFC Label Validation — Informationsfluss-Kontrolle</w:t>
            </w:r>
          </w:p>
        </w:tc>
        <w:tc>
          <w:tcPr>
            <w:tcW w:type="dxa" w:w="440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Datenschutz</w:t>
            </w:r>
          </w:p>
        </w:tc>
      </w:tr>
      <w:tr>
        <w:tc>
          <w:tcPr>
            <w:tcW w:type="dxa" w:w="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5</w:t>
            </w:r>
          </w:p>
        </w:tc>
        <w:tc>
          <w:tcPr>
            <w:tcW w:type="dxa" w:w="4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Mandatory Rule Compliance — 11 konstitutionelle Regeln</w:t>
            </w:r>
          </w:p>
        </w:tc>
        <w:tc>
          <w:tcPr>
            <w:tcW w:type="dxa" w:w="440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Absolute Sicherheitsgrenzen</w:t>
            </w:r>
          </w:p>
        </w:tc>
      </w:tr>
      <w:tr>
        <w:tc>
          <w:tcPr>
            <w:tcW w:type="dxa" w:w="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6</w:t>
            </w:r>
          </w:p>
        </w:tc>
        <w:tc>
          <w:tcPr>
            <w:tcW w:type="dxa" w:w="4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Lock &amp; Concurrency Check — Ressourcenkonflikte</w:t>
            </w:r>
          </w:p>
        </w:tc>
        <w:tc>
          <w:tcPr>
            <w:tcW w:type="dxa" w:w="440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Konsistenz</w:t>
            </w:r>
          </w:p>
        </w:tc>
      </w:tr>
      <w:tr>
        <w:tc>
          <w:tcPr>
            <w:tcW w:type="dxa" w:w="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7</w:t>
            </w:r>
          </w:p>
        </w:tc>
        <w:tc>
          <w:tcPr>
            <w:tcW w:type="dxa" w:w="4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DSC Pre-Filter — Prompt Injection Patterns</w:t>
            </w:r>
          </w:p>
        </w:tc>
        <w:tc>
          <w:tcPr>
            <w:tcW w:type="dxa" w:w="440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LLM-Schutz</w:t>
            </w:r>
          </w:p>
        </w:tc>
      </w:tr>
    </w:tbl>
    <w:p>
      <w:pPr>
        <w:pBdr>
          <w:left w:val="single" w:color="E67E22" w:sz="5" w:space="1"/>
        </w:pBdr>
        <w:spacing w:before="60" w:after="100"/>
        <w:ind w:left="200"/>
      </w:pPr>
      <w:r>
        <w:rPr>
          <w:rFonts w:ascii="Arial" w:cs="Arial" w:eastAsia="Arial" w:hAnsi="Arial"/>
          <w:b/>
          <w:bCs/>
          <w:color w:val="E67E22"/>
          <w:sz w:val="19"/>
          <w:szCs w:val="19"/>
        </w:rPr>
        <w:t xml:space="preserve">Residual Risk: </w:t>
      </w:r>
      <w:r>
        <w:rPr>
          <w:rFonts w:ascii="Arial" w:cs="Arial" w:eastAsia="Arial" w:hAnsi="Arial"/>
          <w:color w:val="E67E22"/>
          <w:sz w:val="19"/>
          <w:szCs w:val="19"/>
        </w:rPr>
        <w:t xml:space="preserve">Die semantische Lücke zwischen DSC (syntaktisch, pro Aktion) und SSE (semantisch, pro Aktion) kann nicht vollständig geschlossen werden. Aggregate Monitoring erkennt volumenbasierte Muster.</w:t>
      </w:r>
    </w:p>
    <w:p>
      <w:pPr>
        <w:spacing w:after="60"/>
      </w:pPr>
      <w:r>
        <w:rPr>
          <w:rFonts w:ascii="Arial" w:cs="Arial" w:eastAsia="Arial" w:hAnsi="Arial"/>
          <w:i/>
          <w:iCs/>
          <w:color w:val="2E75B6"/>
          <w:sz w:val="18"/>
          <w:szCs w:val="18"/>
        </w:rPr>
        <w:t xml:space="preserve">▶ Vollständige Spezifikation: §15 Security Architecture, §15.3 DSC</w:t>
      </w:r>
    </w:p>
    <w:p>
      <w:r>
        <w:br w:type="page"/>
      </w:r>
    </w:p>
    <w:p>
      <w:pPr>
        <w:pStyle w:val="Heading1"/>
      </w:pPr>
      <w:r>
        <w:t xml:space="preserve">3. Vier Schutzringe</w:t>
      </w:r>
    </w:p>
    <w:p>
      <w:pPr>
        <w:spacing w:after="130"/>
      </w:pPr>
      <w:r>
        <w:rPr>
          <w:rFonts w:ascii="Arial" w:cs="Arial" w:eastAsia="Arial" w:hAnsi="Arial"/>
          <w:sz w:val="22"/>
          <w:szCs w:val="22"/>
        </w:rPr>
        <w:t xml:space="preserve">Das Protection-Ring-Modell trennt Code nach Vertrauensstufe. Promotion nach innen erfordert ein vollständiges 5-stufiges Re-Onboarding. Demotion nach außen ist jederzeit sofort möglich.</w:t>
      </w:r>
    </w:p>
    <w:p>
      <w:pPr>
        <w:spacing w:before="140" w:after="140"/>
        <w:jc w:val="center"/>
      </w:pPr>
      <w:r>
        <w:drawing>
          <wp:inline distT="0" distB="0" distL="0" distR="0">
            <wp:extent cx="4000500" cy="4000500"/>
            <wp:effectExtent t="0" r="0" b="0" l="0"/>
            <wp:docPr id="1" name="03_protection_rings" descr="03_protection_rings" title="03_protection_ring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000500" cy="4000500"/>
                    </a:xfrm>
                    <a:prstGeom prst="rect">
                      <a:avLst/>
                    </a:prstGeom>
                  </pic:spPr>
                </pic:pic>
              </a:graphicData>
            </a:graphic>
          </wp:inline>
        </w:drawing>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800"/>
        <w:gridCol w:w="4706"/>
        <w:gridCol w:w="4000"/>
      </w:tblGrid>
      <w:tr>
        <w:tc>
          <w:tcPr>
            <w:tcW w:type="dxa" w:w="800"/>
            <w:tcBorders>
              <w:top w:val="single" w:color="CCCCCC" w:sz="1"/>
              <w:left w:val="single" w:color="CCCCCC" w:sz="1"/>
              <w:bottom w:val="single" w:color="CCCCCC" w:sz="1"/>
              <w:right w:val="single" w:color="CCCCCC" w:sz="1"/>
            </w:tcBorders>
            <w:shd w:fill="1A1A2E" w:val="clear"/>
            <w:tcMar>
              <w:top w:type="dxa" w:w="80"/>
              <w:left w:type="dxa" w:w="120"/>
              <w:bottom w:type="dxa" w:w="80"/>
              <w:right w:type="dxa" w:w="120"/>
            </w:tcMar>
          </w:tcPr>
          <w:p>
            <w:r>
              <w:rPr>
                <w:rFonts w:ascii="Arial" w:cs="Arial" w:eastAsia="Arial" w:hAnsi="Arial"/>
                <w:b/>
                <w:bCs/>
                <w:color w:val="FFFFFF"/>
                <w:sz w:val="19"/>
                <w:szCs w:val="19"/>
              </w:rPr>
              <w:t xml:space="preserve">Ring</w:t>
            </w:r>
          </w:p>
        </w:tc>
        <w:tc>
          <w:tcPr>
            <w:tcW w:type="dxa" w:w="4706"/>
            <w:tcBorders>
              <w:top w:val="single" w:color="CCCCCC" w:sz="1"/>
              <w:left w:val="single" w:color="CCCCCC" w:sz="1"/>
              <w:bottom w:val="single" w:color="CCCCCC" w:sz="1"/>
              <w:right w:val="single" w:color="CCCCCC" w:sz="1"/>
            </w:tcBorders>
            <w:shd w:fill="1A1A2E" w:val="clear"/>
            <w:tcMar>
              <w:top w:type="dxa" w:w="80"/>
              <w:left w:type="dxa" w:w="120"/>
              <w:bottom w:type="dxa" w:w="80"/>
              <w:right w:type="dxa" w:w="120"/>
            </w:tcMar>
          </w:tcPr>
          <w:p>
            <w:r>
              <w:rPr>
                <w:rFonts w:ascii="Arial" w:cs="Arial" w:eastAsia="Arial" w:hAnsi="Arial"/>
                <w:b/>
                <w:bCs/>
                <w:color w:val="FFFFFF"/>
                <w:sz w:val="19"/>
                <w:szCs w:val="19"/>
              </w:rPr>
              <w:t xml:space="preserve">Inhalt</w:t>
            </w:r>
          </w:p>
        </w:tc>
        <w:tc>
          <w:tcPr>
            <w:tcW w:type="dxa" w:w="4000"/>
            <w:tcBorders>
              <w:top w:val="single" w:color="CCCCCC" w:sz="1"/>
              <w:left w:val="single" w:color="CCCCCC" w:sz="1"/>
              <w:bottom w:val="single" w:color="CCCCCC" w:sz="1"/>
              <w:right w:val="single" w:color="CCCCCC" w:sz="1"/>
            </w:tcBorders>
            <w:shd w:fill="1A1A2E" w:val="clear"/>
            <w:tcMar>
              <w:top w:type="dxa" w:w="80"/>
              <w:left w:type="dxa" w:w="120"/>
              <w:bottom w:type="dxa" w:w="80"/>
              <w:right w:type="dxa" w:w="120"/>
            </w:tcMar>
          </w:tcPr>
          <w:p>
            <w:r>
              <w:rPr>
                <w:rFonts w:ascii="Arial" w:cs="Arial" w:eastAsia="Arial" w:hAnsi="Arial"/>
                <w:b/>
                <w:bCs/>
                <w:color w:val="FFFFFF"/>
                <w:sz w:val="19"/>
                <w:szCs w:val="19"/>
              </w:rPr>
              <w:t xml:space="preserve">Isolation</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0</w:t>
            </w:r>
          </w:p>
        </w:tc>
        <w:tc>
          <w:tcPr>
            <w:tcW w:type="dxa" w:w="470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Kernel: DSC, Dispatcher, Commit, WAL, Boot</w:t>
            </w:r>
          </w:p>
        </w:tc>
        <w:tc>
          <w:tcPr>
            <w:tcW w:type="dxa" w:w="4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Höchste — kein Agent-Code</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1</w:t>
            </w:r>
          </w:p>
        </w:tc>
        <w:tc>
          <w:tcPr>
            <w:tcW w:type="dxa" w:w="470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System Services: Task Orchestrator, Memory Mgr, etc.</w:t>
            </w:r>
          </w:p>
        </w:tc>
        <w:tc>
          <w:tcPr>
            <w:tcW w:type="dxa" w:w="4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Lesen ja, Schreiben nein auf Kernel-Daten</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2</w:t>
            </w:r>
          </w:p>
        </w:tc>
        <w:tc>
          <w:tcPr>
            <w:tcW w:type="dxa" w:w="470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Trusted Agents: verifiziert, Tier 1–2</w:t>
            </w:r>
          </w:p>
        </w:tc>
        <w:tc>
          <w:tcPr>
            <w:tcW w:type="dxa" w:w="4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V8-Isolate (Std) / OS-Sandbox (Hard/Iso)</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3</w:t>
            </w:r>
          </w:p>
        </w:tc>
        <w:tc>
          <w:tcPr>
            <w:tcW w:type="dxa" w:w="470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Untrusted Agents: unverifiziert, Tier 3–5</w:t>
            </w:r>
          </w:p>
        </w:tc>
        <w:tc>
          <w:tcPr>
            <w:tcW w:type="dxa" w:w="4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Agent Execution Pod + alle 6 Gateways</w:t>
            </w:r>
          </w:p>
        </w:tc>
      </w:tr>
    </w:tbl>
    <w:p>
      <w:pPr>
        <w:spacing w:after="60"/>
      </w:pPr>
      <w:r>
        <w:rPr>
          <w:rFonts w:ascii="Arial" w:cs="Arial" w:eastAsia="Arial" w:hAnsi="Arial"/>
          <w:i/>
          <w:iCs/>
          <w:color w:val="2E75B6"/>
          <w:sz w:val="18"/>
          <w:szCs w:val="18"/>
        </w:rPr>
        <w:t xml:space="preserve">▶ Vollständige Spezifikation: §7 Protection Rings, §41 Agent Execution Pod</w:t>
      </w:r>
    </w:p>
    <w:p>
      <w:r>
        <w:br w:type="page"/>
      </w:r>
    </w:p>
    <w:p>
      <w:pPr>
        <w:pStyle w:val="Heading1"/>
      </w:pPr>
      <w:r>
        <w:t xml:space="preserve">4. Agent Execution Pod</w:t>
      </w:r>
    </w:p>
    <w:p>
      <w:pPr>
        <w:spacing w:after="130"/>
      </w:pPr>
      <w:r>
        <w:rPr>
          <w:rFonts w:ascii="Arial" w:cs="Arial" w:eastAsia="Arial" w:hAnsi="Arial"/>
          <w:sz w:val="22"/>
          <w:szCs w:val="22"/>
        </w:rPr>
        <w:t xml:space="preserve">Jeder Agent lebt in einem Pod — einer isolierten Laufzeitumgebung mit einem Sentry-Sidecar und sechs Gateway-Typen. Der Agent kann den Sentry nicht modifizieren, konfigurieren oder beenden. Alle Kommunikation läuft durch die Gateways.</w:t>
      </w:r>
    </w:p>
    <w:p>
      <w:pPr>
        <w:spacing w:before="140" w:after="140"/>
        <w:jc w:val="center"/>
      </w:pPr>
      <w:r>
        <w:drawing>
          <wp:inline distT="0" distB="0" distL="0" distR="0">
            <wp:extent cx="5334000" cy="2952750"/>
            <wp:effectExtent t="0" r="0" b="0" l="0"/>
            <wp:docPr id="1" name="08_agent_execution_pod" descr="08_agent_execution_pod" title="08_agent_execution_po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2952750"/>
                    </a:xfrm>
                    <a:prstGeom prst="rect">
                      <a:avLst/>
                    </a:prstGeom>
                  </pic:spPr>
                </pic:pic>
              </a:graphicData>
            </a:graphic>
          </wp:inline>
        </w:drawing>
      </w:r>
    </w:p>
    <w:p>
      <w:pPr>
        <w:pStyle w:val="Heading3"/>
      </w:pPr>
      <w:r>
        <w:t xml:space="preserve">Fünf Isolationsstufen</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600"/>
        <w:gridCol w:w="3200"/>
        <w:gridCol w:w="2706"/>
        <w:gridCol w:w="3000"/>
      </w:tblGrid>
      <w:tr>
        <w:tc>
          <w:tcPr>
            <w:tcW w:type="dxa" w:w="600"/>
            <w:tcBorders>
              <w:top w:val="single" w:color="CCCCCC" w:sz="1"/>
              <w:left w:val="single" w:color="CCCCCC" w:sz="1"/>
              <w:bottom w:val="single" w:color="CCCCCC" w:sz="1"/>
              <w:right w:val="single" w:color="CCCCCC" w:sz="1"/>
            </w:tcBorders>
            <w:shd w:fill="1A1A2E" w:val="clear"/>
            <w:tcMar>
              <w:top w:type="dxa" w:w="80"/>
              <w:left w:type="dxa" w:w="120"/>
              <w:bottom w:type="dxa" w:w="80"/>
              <w:right w:type="dxa" w:w="120"/>
            </w:tcMar>
          </w:tcPr>
          <w:p>
            <w:r>
              <w:rPr>
                <w:rFonts w:ascii="Arial" w:cs="Arial" w:eastAsia="Arial" w:hAnsi="Arial"/>
                <w:b/>
                <w:bCs/>
                <w:color w:val="FFFFFF"/>
                <w:sz w:val="19"/>
                <w:szCs w:val="19"/>
              </w:rPr>
              <w:t xml:space="preserve">Level</w:t>
            </w:r>
          </w:p>
        </w:tc>
        <w:tc>
          <w:tcPr>
            <w:tcW w:type="dxa" w:w="3200"/>
            <w:tcBorders>
              <w:top w:val="single" w:color="CCCCCC" w:sz="1"/>
              <w:left w:val="single" w:color="CCCCCC" w:sz="1"/>
              <w:bottom w:val="single" w:color="CCCCCC" w:sz="1"/>
              <w:right w:val="single" w:color="CCCCCC" w:sz="1"/>
            </w:tcBorders>
            <w:shd w:fill="1A1A2E" w:val="clear"/>
            <w:tcMar>
              <w:top w:type="dxa" w:w="80"/>
              <w:left w:type="dxa" w:w="120"/>
              <w:bottom w:type="dxa" w:w="80"/>
              <w:right w:type="dxa" w:w="120"/>
            </w:tcMar>
          </w:tcPr>
          <w:p>
            <w:r>
              <w:rPr>
                <w:rFonts w:ascii="Arial" w:cs="Arial" w:eastAsia="Arial" w:hAnsi="Arial"/>
                <w:b/>
                <w:bCs/>
                <w:color w:val="FFFFFF"/>
                <w:sz w:val="19"/>
                <w:szCs w:val="19"/>
              </w:rPr>
              <w:t xml:space="preserve">Modus</w:t>
            </w:r>
          </w:p>
        </w:tc>
        <w:tc>
          <w:tcPr>
            <w:tcW w:type="dxa" w:w="2706"/>
            <w:tcBorders>
              <w:top w:val="single" w:color="CCCCCC" w:sz="1"/>
              <w:left w:val="single" w:color="CCCCCC" w:sz="1"/>
              <w:bottom w:val="single" w:color="CCCCCC" w:sz="1"/>
              <w:right w:val="single" w:color="CCCCCC" w:sz="1"/>
            </w:tcBorders>
            <w:shd w:fill="1A1A2E" w:val="clear"/>
            <w:tcMar>
              <w:top w:type="dxa" w:w="80"/>
              <w:left w:type="dxa" w:w="120"/>
              <w:bottom w:type="dxa" w:w="80"/>
              <w:right w:type="dxa" w:w="120"/>
            </w:tcMar>
          </w:tcPr>
          <w:p>
            <w:r>
              <w:rPr>
                <w:rFonts w:ascii="Arial" w:cs="Arial" w:eastAsia="Arial" w:hAnsi="Arial"/>
                <w:b/>
                <w:bCs/>
                <w:color w:val="FFFFFF"/>
                <w:sz w:val="19"/>
                <w:szCs w:val="19"/>
              </w:rPr>
              <w:t xml:space="preserve">Overhead</w:t>
            </w:r>
          </w:p>
        </w:tc>
        <w:tc>
          <w:tcPr>
            <w:tcW w:type="dxa" w:w="3000"/>
            <w:tcBorders>
              <w:top w:val="single" w:color="CCCCCC" w:sz="1"/>
              <w:left w:val="single" w:color="CCCCCC" w:sz="1"/>
              <w:bottom w:val="single" w:color="CCCCCC" w:sz="1"/>
              <w:right w:val="single" w:color="CCCCCC" w:sz="1"/>
            </w:tcBorders>
            <w:shd w:fill="1A1A2E" w:val="clear"/>
            <w:tcMar>
              <w:top w:type="dxa" w:w="80"/>
              <w:left w:type="dxa" w:w="120"/>
              <w:bottom w:type="dxa" w:w="80"/>
              <w:right w:type="dxa" w:w="120"/>
            </w:tcMar>
          </w:tcPr>
          <w:p>
            <w:r>
              <w:rPr>
                <w:rFonts w:ascii="Arial" w:cs="Arial" w:eastAsia="Arial" w:hAnsi="Arial"/>
                <w:b/>
                <w:bCs/>
                <w:color w:val="FFFFFF"/>
                <w:sz w:val="19"/>
                <w:szCs w:val="19"/>
              </w:rPr>
              <w:t xml:space="preserve">Profil</w:t>
            </w:r>
          </w:p>
        </w:tc>
      </w:tr>
      <w:tr>
        <w:tc>
          <w:tcPr>
            <w:tcW w:type="dxa" w:w="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1</w:t>
            </w:r>
          </w:p>
        </w:tc>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V8 Isolate (Worker Thread)</w:t>
            </w:r>
          </w:p>
        </w:tc>
        <w:tc>
          <w:tcPr>
            <w:tcW w:type="dxa" w:w="270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~20 MB, &lt;0.1 ms</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Standard Ring 2</w:t>
            </w:r>
          </w:p>
        </w:tc>
      </w:tr>
      <w:tr>
        <w:tc>
          <w:tcPr>
            <w:tcW w:type="dxa" w:w="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2</w:t>
            </w:r>
          </w:p>
        </w:tc>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Container (seccomp, AppArmor)</w:t>
            </w:r>
          </w:p>
        </w:tc>
        <w:tc>
          <w:tcPr>
            <w:tcW w:type="dxa" w:w="270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~50 MB, &lt;0.5 ms</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Hardened Ring 2/3</w:t>
            </w:r>
          </w:p>
        </w:tc>
      </w:tr>
      <w:tr>
        <w:tc>
          <w:tcPr>
            <w:tcW w:type="dxa" w:w="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3</w:t>
            </w:r>
          </w:p>
        </w:tc>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gVisor (User-Space Kernel)</w:t>
            </w:r>
          </w:p>
        </w:tc>
        <w:tc>
          <w:tcPr>
            <w:tcW w:type="dxa" w:w="270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~80 MB, 2–5 ms</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Ring 3 Inspectable</w:t>
            </w:r>
          </w:p>
        </w:tc>
      </w:tr>
      <w:tr>
        <w:tc>
          <w:tcPr>
            <w:tcW w:type="dxa" w:w="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4</w:t>
            </w:r>
          </w:p>
        </w:tc>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MicroVM (Firecracker/Kata)</w:t>
            </w:r>
          </w:p>
        </w:tc>
        <w:tc>
          <w:tcPr>
            <w:tcW w:type="dxa" w:w="270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~128 MB, 5–10 ms</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Ring 3 Opaque</w:t>
            </w:r>
          </w:p>
        </w:tc>
      </w:tr>
      <w:tr>
        <w:tc>
          <w:tcPr>
            <w:tcW w:type="dxa" w:w="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5</w:t>
            </w:r>
          </w:p>
        </w:tc>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Confidential VM (TDX/SEV)</w:t>
            </w:r>
          </w:p>
        </w:tc>
        <w:tc>
          <w:tcPr>
            <w:tcW w:type="dxa" w:w="270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~256 MB, 10–20 ms</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Klassifizierte Daten</w:t>
            </w:r>
          </w:p>
        </w:tc>
      </w:tr>
    </w:tbl>
    <w:p>
      <w:pPr>
        <w:spacing w:after="130"/>
      </w:pPr>
      <w:r>
        <w:rPr>
          <w:rFonts w:ascii="Arial" w:cs="Arial" w:eastAsia="Arial" w:hAnsi="Arial"/>
          <w:i/>
          <w:iCs/>
          <w:color w:val="666666"/>
          <w:sz w:val="20"/>
          <w:szCs w:val="20"/>
        </w:rPr>
        <w:t xml:space="preserve">Alle Overheads sind vernachlässigbar gegenüber LLM-API-Latenz (500–2000 ms).</w:t>
      </w:r>
    </w:p>
    <w:p>
      <w:pPr>
        <w:spacing w:after="60"/>
      </w:pPr>
      <w:r>
        <w:rPr>
          <w:rFonts w:ascii="Arial" w:cs="Arial" w:eastAsia="Arial" w:hAnsi="Arial"/>
          <w:i/>
          <w:iCs/>
          <w:color w:val="2E75B6"/>
          <w:sz w:val="18"/>
          <w:szCs w:val="18"/>
        </w:rPr>
        <w:t xml:space="preserve">▶ Vollständige Spezifikation: §41 Agent Execution Pod, §41.4 Five-Level Isolation</w:t>
      </w:r>
    </w:p>
    <w:p>
      <w:r>
        <w:br w:type="page"/>
      </w:r>
    </w:p>
    <w:p>
      <w:pPr>
        <w:pStyle w:val="Heading1"/>
      </w:pPr>
      <w:r>
        <w:t xml:space="preserve">5. Das „Unzerstörbare Herz“ — Sieben Schutzschichten</w:t>
      </w:r>
    </w:p>
    <w:p>
      <w:pPr>
        <w:spacing w:after="130"/>
      </w:pPr>
      <w:r>
        <w:rPr>
          <w:rFonts w:ascii="Arial" w:cs="Arial" w:eastAsia="Arial" w:hAnsi="Arial"/>
          <w:sz w:val="22"/>
          <w:szCs w:val="22"/>
        </w:rPr>
        <w:t xml:space="preserve">Der DSC ist von sieben Schutzschichten umgeben, inspiriert von Kernreaktor-Sicherheit und Flugzeugzertifizierung. In der höchsten Konfiguration (Isolated) laufen drei DSC-Instanzen, kompiliert mit drei verschiedenen Compilern, auf unterschiedlicher Hardware.</w:t>
      </w:r>
    </w:p>
    <w:p>
      <w:pPr>
        <w:spacing w:before="140" w:after="140"/>
        <w:jc w:val="center"/>
      </w:pPr>
      <w:r>
        <w:drawing>
          <wp:inline distT="0" distB="0" distL="0" distR="0">
            <wp:extent cx="4572000" cy="3619500"/>
            <wp:effectExtent t="0" r="0" b="0" l="0"/>
            <wp:docPr id="1" name="07_dsc_seven_layers" descr="07_dsc_seven_layers" title="07_dsc_seven_lay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572000" cy="3619500"/>
                    </a:xfrm>
                    <a:prstGeom prst="rect">
                      <a:avLst/>
                    </a:prstGeom>
                  </pic:spPr>
                </pic:pic>
              </a:graphicData>
            </a:graphic>
          </wp:inline>
        </w:drawing>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700"/>
        <w:gridCol w:w="6000"/>
        <w:gridCol w:w="2806"/>
      </w:tblGrid>
      <w:tr>
        <w:tc>
          <w:tcPr>
            <w:tcW w:type="dxa" w:w="700"/>
            <w:tcBorders>
              <w:top w:val="single" w:color="CCCCCC" w:sz="1"/>
              <w:left w:val="single" w:color="CCCCCC" w:sz="1"/>
              <w:bottom w:val="single" w:color="CCCCCC" w:sz="1"/>
              <w:right w:val="single" w:color="CCCCCC" w:sz="1"/>
            </w:tcBorders>
            <w:shd w:fill="1A1A2E" w:val="clear"/>
            <w:tcMar>
              <w:top w:type="dxa" w:w="80"/>
              <w:left w:type="dxa" w:w="120"/>
              <w:bottom w:type="dxa" w:w="80"/>
              <w:right w:type="dxa" w:w="120"/>
            </w:tcMar>
          </w:tcPr>
          <w:p>
            <w:r>
              <w:rPr>
                <w:rFonts w:ascii="Arial" w:cs="Arial" w:eastAsia="Arial" w:hAnsi="Arial"/>
                <w:b/>
                <w:bCs/>
                <w:color w:val="FFFFFF"/>
                <w:sz w:val="19"/>
                <w:szCs w:val="19"/>
              </w:rPr>
              <w:t xml:space="preserve">Schicht</w:t>
            </w:r>
          </w:p>
        </w:tc>
        <w:tc>
          <w:tcPr>
            <w:tcW w:type="dxa" w:w="6000"/>
            <w:tcBorders>
              <w:top w:val="single" w:color="CCCCCC" w:sz="1"/>
              <w:left w:val="single" w:color="CCCCCC" w:sz="1"/>
              <w:bottom w:val="single" w:color="CCCCCC" w:sz="1"/>
              <w:right w:val="single" w:color="CCCCCC" w:sz="1"/>
            </w:tcBorders>
            <w:shd w:fill="1A1A2E" w:val="clear"/>
            <w:tcMar>
              <w:top w:type="dxa" w:w="80"/>
              <w:left w:type="dxa" w:w="120"/>
              <w:bottom w:type="dxa" w:w="80"/>
              <w:right w:type="dxa" w:w="120"/>
            </w:tcMar>
          </w:tcPr>
          <w:p>
            <w:r>
              <w:rPr>
                <w:rFonts w:ascii="Arial" w:cs="Arial" w:eastAsia="Arial" w:hAnsi="Arial"/>
                <w:b/>
                <w:bCs/>
                <w:color w:val="FFFFFF"/>
                <w:sz w:val="19"/>
                <w:szCs w:val="19"/>
              </w:rPr>
              <w:t xml:space="preserve">Mechanismus</w:t>
            </w:r>
          </w:p>
        </w:tc>
        <w:tc>
          <w:tcPr>
            <w:tcW w:type="dxa" w:w="2806"/>
            <w:tcBorders>
              <w:top w:val="single" w:color="CCCCCC" w:sz="1"/>
              <w:left w:val="single" w:color="CCCCCC" w:sz="1"/>
              <w:bottom w:val="single" w:color="CCCCCC" w:sz="1"/>
              <w:right w:val="single" w:color="CCCCCC" w:sz="1"/>
            </w:tcBorders>
            <w:shd w:fill="1A1A2E" w:val="clear"/>
            <w:tcMar>
              <w:top w:type="dxa" w:w="80"/>
              <w:left w:type="dxa" w:w="120"/>
              <w:bottom w:type="dxa" w:w="80"/>
              <w:right w:type="dxa" w:w="120"/>
            </w:tcMar>
          </w:tcPr>
          <w:p>
            <w:r>
              <w:rPr>
                <w:rFonts w:ascii="Arial" w:cs="Arial" w:eastAsia="Arial" w:hAnsi="Arial"/>
                <w:b/>
                <w:bCs/>
                <w:color w:val="FFFFFF"/>
                <w:sz w:val="19"/>
                <w:szCs w:val="19"/>
              </w:rPr>
              <w:t xml:space="preserve">Prüfintervall</w:t>
            </w:r>
          </w:p>
        </w:tc>
      </w:tr>
      <w:tr>
        <w:tc>
          <w:tcPr>
            <w:tcW w:type="dxa" w:w="7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7</w:t>
            </w:r>
          </w:p>
        </w:tc>
        <w:tc>
          <w:tcPr>
            <w:tcW w:type="dxa" w:w="6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Security Heartbeat — signierte Lebenszeichen</w:t>
            </w:r>
          </w:p>
        </w:tc>
        <w:tc>
          <w:tcPr>
            <w:tcW w:type="dxa" w:w="280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100 ms</w:t>
            </w:r>
          </w:p>
        </w:tc>
      </w:tr>
      <w:tr>
        <w:tc>
          <w:tcPr>
            <w:tcW w:type="dxa" w:w="7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6</w:t>
            </w:r>
          </w:p>
        </w:tc>
        <w:tc>
          <w:tcPr>
            <w:tcW w:type="dxa" w:w="6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Fail-Safe Voter — Mehrheitsentscheidung (2-of-3)</w:t>
            </w:r>
          </w:p>
        </w:tc>
        <w:tc>
          <w:tcPr>
            <w:tcW w:type="dxa" w:w="280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Jede Anfrage</w:t>
            </w:r>
          </w:p>
        </w:tc>
      </w:tr>
      <w:tr>
        <w:tc>
          <w:tcPr>
            <w:tcW w:type="dxa" w:w="7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5</w:t>
            </w:r>
          </w:p>
        </w:tc>
        <w:tc>
          <w:tcPr>
            <w:tcW w:type="dxa" w:w="6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Input Sanitizer — formal verifizierbar (&lt;500 LoC)</w:t>
            </w:r>
          </w:p>
        </w:tc>
        <w:tc>
          <w:tcPr>
            <w:tcW w:type="dxa" w:w="280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Jede Eingabe</w:t>
            </w:r>
          </w:p>
        </w:tc>
      </w:tr>
      <w:tr>
        <w:tc>
          <w:tcPr>
            <w:tcW w:type="dxa" w:w="7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4</w:t>
            </w:r>
          </w:p>
        </w:tc>
        <w:tc>
          <w:tcPr>
            <w:tcW w:type="dxa" w:w="6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Immutable Config — mprotect, signierte Konfiguration</w:t>
            </w:r>
          </w:p>
        </w:tc>
        <w:tc>
          <w:tcPr>
            <w:tcW w:type="dxa" w:w="280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Boot + 5 min</w:t>
            </w:r>
          </w:p>
        </w:tc>
      </w:tr>
      <w:tr>
        <w:tc>
          <w:tcPr>
            <w:tcW w:type="dxa" w:w="7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3</w:t>
            </w:r>
          </w:p>
        </w:tc>
        <w:tc>
          <w:tcPr>
            <w:tcW w:type="dxa" w:w="6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Runtime Integrity — Code-Hash-Selbstprüfung</w:t>
            </w:r>
          </w:p>
        </w:tc>
        <w:tc>
          <w:tcPr>
            <w:tcW w:type="dxa" w:w="280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60 Sekunden</w:t>
            </w:r>
          </w:p>
        </w:tc>
      </w:tr>
      <w:tr>
        <w:tc>
          <w:tcPr>
            <w:tcW w:type="dxa" w:w="7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2</w:t>
            </w:r>
          </w:p>
        </w:tc>
        <w:tc>
          <w:tcPr>
            <w:tcW w:type="dxa" w:w="6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Cross-Watchdog Ring — gegenseitige Überwachung</w:t>
            </w:r>
          </w:p>
        </w:tc>
        <w:tc>
          <w:tcPr>
            <w:tcW w:type="dxa" w:w="280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100 ms</w:t>
            </w:r>
          </w:p>
        </w:tc>
      </w:tr>
      <w:tr>
        <w:tc>
          <w:tcPr>
            <w:tcW w:type="dxa" w:w="7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1</w:t>
            </w:r>
          </w:p>
        </w:tc>
        <w:tc>
          <w:tcPr>
            <w:tcW w:type="dxa" w:w="6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Triple Diverse Compilation — drei Compiler</w:t>
            </w:r>
          </w:p>
        </w:tc>
        <w:tc>
          <w:tcPr>
            <w:tcW w:type="dxa" w:w="280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Boot</w:t>
            </w:r>
          </w:p>
        </w:tc>
      </w:tr>
    </w:tbl>
    <w:p>
      <w:pPr>
        <w:spacing w:after="130"/>
      </w:pPr>
      <w:r>
        <w:rPr>
          <w:rFonts w:ascii="Arial" w:cs="Arial" w:eastAsia="Arial" w:hAnsi="Arial"/>
          <w:i/>
          <w:iCs/>
          <w:color w:val="666666"/>
          <w:sz w:val="20"/>
          <w:szCs w:val="20"/>
        </w:rPr>
        <w:t xml:space="preserve">In Standard-Profil sind Schichten 1 und 2 nicht aktiv (einzelner DSC). Defense in Depth, nicht Unverwundbarkeit.</w:t>
      </w:r>
    </w:p>
    <w:p>
      <w:pPr>
        <w:spacing w:after="60"/>
      </w:pPr>
      <w:r>
        <w:rPr>
          <w:rFonts w:ascii="Arial" w:cs="Arial" w:eastAsia="Arial" w:hAnsi="Arial"/>
          <w:i/>
          <w:iCs/>
          <w:color w:val="2E75B6"/>
          <w:sz w:val="18"/>
          <w:szCs w:val="18"/>
        </w:rPr>
        <w:t xml:space="preserve">▶ Vollständige Spezifikation: §15.7 DSC Seven Protective Layers</w:t>
      </w:r>
    </w:p>
    <w:p>
      <w:r>
        <w:br w:type="page"/>
      </w:r>
    </w:p>
    <w:p>
      <w:pPr>
        <w:pStyle w:val="Heading1"/>
      </w:pPr>
      <w:r>
        <w:t xml:space="preserve">6. Biologisches Immunsystem</w:t>
      </w:r>
    </w:p>
    <w:p>
      <w:pPr>
        <w:spacing w:after="130"/>
      </w:pPr>
      <w:r>
        <w:rPr>
          <w:rFonts w:ascii="Arial" w:cs="Arial" w:eastAsia="Arial" w:hAnsi="Arial"/>
          <w:sz w:val="22"/>
          <w:szCs w:val="22"/>
        </w:rPr>
        <w:t xml:space="preserve">MAOS verteidigt sich wie ein Organismus. Bei Anomalien durchläuft ein Agent eine fünfstufige Quarantäne-Kaskade. In Standard-Profil erlaubt der Fast-Apoptosis-Pfad (v5.8) das Überspringen von Stufen 1–3 bei eindeutigen Verstößen.</w:t>
      </w:r>
    </w:p>
    <w:p>
      <w:pPr>
        <w:spacing w:before="140" w:after="140"/>
        <w:jc w:val="center"/>
      </w:pPr>
      <w:r>
        <w:drawing>
          <wp:inline distT="0" distB="0" distL="0" distR="0">
            <wp:extent cx="4572000" cy="3619500"/>
            <wp:effectExtent t="0" r="0" b="0" l="0"/>
            <wp:docPr id="1" name="04_quarantine_cascade" descr="04_quarantine_cascade" title="04_quarantine_casca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572000" cy="3619500"/>
                    </a:xfrm>
                    <a:prstGeom prst="rect">
                      <a:avLst/>
                    </a:prstGeom>
                  </pic:spPr>
                </pic:pic>
              </a:graphicData>
            </a:graphic>
          </wp:inline>
        </w:drawing>
      </w:r>
    </w:p>
    <w:p>
      <w:pPr>
        <w:pStyle w:val="Heading3"/>
      </w:pPr>
      <w:r>
        <w:t xml:space="preserve">Weitere Immunmechanismen</w:t>
      </w:r>
    </w:p>
    <w:p>
      <w:pPr>
        <w:spacing w:after="130"/>
      </w:pPr>
      <w:r>
        <w:rPr>
          <w:rFonts w:ascii="Arial" w:cs="Arial" w:eastAsia="Arial" w:hAnsi="Arial"/>
          <w:b/>
          <w:bCs/>
          <w:sz w:val="22"/>
          <w:szCs w:val="22"/>
        </w:rPr>
        <w:t xml:space="preserve">Security Fever Mode: </w:t>
      </w:r>
      <w:r>
        <w:rPr>
          <w:rFonts w:ascii="Arial" w:cs="Arial" w:eastAsia="Arial" w:hAnsi="Arial"/>
          <w:sz w:val="22"/>
          <w:szCs w:val="22"/>
        </w:rPr>
        <w:t xml:space="preserve">Bei 2+ Agenten in Quarantäne: System wird restriktiver — Rate Limits halbiert, alle Ring-3-Agenten erhalten SSE-Evaluation.</w:t>
      </w:r>
    </w:p>
    <w:p>
      <w:pPr>
        <w:spacing w:after="130"/>
      </w:pPr>
      <w:r>
        <w:rPr>
          <w:rFonts w:ascii="Arial" w:cs="Arial" w:eastAsia="Arial" w:hAnsi="Arial"/>
          <w:b/>
          <w:bCs/>
          <w:sz w:val="22"/>
          <w:szCs w:val="22"/>
        </w:rPr>
        <w:t xml:space="preserve">Agent Apoptosis: </w:t>
      </w:r>
      <w:r>
        <w:rPr>
          <w:rFonts w:ascii="Arial" w:cs="Arial" w:eastAsia="Arial" w:hAnsi="Arial"/>
          <w:sz w:val="22"/>
          <w:szCs w:val="22"/>
        </w:rPr>
        <w:t xml:space="preserve">Ein Agent, der seine eigene Kompromittierung erkennt, kann sich selbst terminieren — ein absolutes Recht.</w:t>
      </w:r>
    </w:p>
    <w:p>
      <w:pPr>
        <w:spacing w:after="130"/>
      </w:pPr>
      <w:r>
        <w:rPr>
          <w:rFonts w:ascii="Arial" w:cs="Arial" w:eastAsia="Arial" w:hAnsi="Arial"/>
          <w:b/>
          <w:bCs/>
          <w:sz w:val="22"/>
          <w:szCs w:val="22"/>
        </w:rPr>
        <w:t xml:space="preserve">Fast Apoptosis (v5.8): </w:t>
      </w:r>
      <w:r>
        <w:rPr>
          <w:rFonts w:ascii="Arial" w:cs="Arial" w:eastAsia="Arial" w:hAnsi="Arial"/>
          <w:sz w:val="22"/>
          <w:szCs w:val="22"/>
        </w:rPr>
        <w:t xml:space="preserve">Bei deterministisch verifizierbaren Hard Violations (nicht-whitelisted Netzwerk, unautorisierter Code, Content-Filter-Block) darf der Sentry in Standard-Profil direkt terminieren und aus sauberem Image neu starten.</w:t>
      </w:r>
    </w:p>
    <w:p>
      <w:pPr>
        <w:spacing w:after="130"/>
      </w:pPr>
      <w:r>
        <w:rPr>
          <w:rFonts w:ascii="Arial" w:cs="Arial" w:eastAsia="Arial" w:hAnsi="Arial"/>
          <w:b/>
          <w:bCs/>
          <w:sz w:val="22"/>
          <w:szCs w:val="22"/>
        </w:rPr>
        <w:t xml:space="preserve">Immune Memory: </w:t>
      </w:r>
      <w:r>
        <w:rPr>
          <w:rFonts w:ascii="Arial" w:cs="Arial" w:eastAsia="Arial" w:hAnsi="Arial"/>
          <w:sz w:val="22"/>
          <w:szCs w:val="22"/>
        </w:rPr>
        <w:t xml:space="preserve">Jede abgewehrte Bedrohung wird als Muster im Wisdom Pool gespeichert, um zukünftige Erkennung zu beschleunigen.</w:t>
      </w:r>
    </w:p>
    <w:p>
      <w:pPr>
        <w:spacing w:after="60"/>
      </w:pPr>
      <w:r>
        <w:rPr>
          <w:rFonts w:ascii="Arial" w:cs="Arial" w:eastAsia="Arial" w:hAnsi="Arial"/>
          <w:i/>
          <w:iCs/>
          <w:color w:val="2E75B6"/>
          <w:sz w:val="18"/>
          <w:szCs w:val="18"/>
        </w:rPr>
        <w:t xml:space="preserve">▶ Vollständige Spezifikation: §37.8 Quarantine Cascade, §37.11 Bio-Inspired Mechanisms</w:t>
      </w:r>
    </w:p>
    <w:p>
      <w:r>
        <w:br w:type="page"/>
      </w:r>
    </w:p>
    <w:p>
      <w:pPr>
        <w:pStyle w:val="Heading1"/>
      </w:pPr>
      <w:r>
        <w:t xml:space="preserve">7. Drei Sicherheitsprofile</w:t>
      </w:r>
    </w:p>
    <w:p>
      <w:pPr>
        <w:spacing w:after="130"/>
      </w:pPr>
      <w:r>
        <w:rPr>
          <w:rFonts w:ascii="Arial" w:cs="Arial" w:eastAsia="Arial" w:hAnsi="Arial"/>
          <w:sz w:val="22"/>
          <w:szCs w:val="22"/>
        </w:rPr>
        <w:t xml:space="preserve">Profile sind Garantie-Hüllen, nicht kosmetische Presets. Sie unterscheiden sich materiell in Isolationsstärke, Nachweistiefe und operativen Versprechen. Die elf konstitutionellen Mandatory Rules sind in allen Profilen immer aktiv.</w:t>
      </w:r>
    </w:p>
    <w:p>
      <w:pPr>
        <w:spacing w:before="140" w:after="140"/>
        <w:jc w:val="center"/>
      </w:pPr>
      <w:r>
        <w:drawing>
          <wp:inline distT="0" distB="0" distL="0" distR="0">
            <wp:extent cx="5334000" cy="2571750"/>
            <wp:effectExtent t="0" r="0" b="0" l="0"/>
            <wp:docPr id="1" name="09_profile_comparison" descr="09_profile_comparison" title="09_profile_comparis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2571750"/>
                    </a:xfrm>
                    <a:prstGeom prst="rect">
                      <a:avLst/>
                    </a:prstGeom>
                  </pic:spPr>
                </pic:pic>
              </a:graphicData>
            </a:graphic>
          </wp:inline>
        </w:drawing>
      </w:r>
    </w:p>
    <w:p>
      <w:pPr>
        <w:pStyle w:val="Heading3"/>
      </w:pPr>
      <w:r>
        <w:t xml:space="preserve">Standard-Profil Sicherheitsgrenzen (v5.7)</w:t>
      </w:r>
    </w:p>
    <w:p>
      <w:pPr>
        <w:spacing w:after="130"/>
      </w:pPr>
      <w:r>
        <w:rPr>
          <w:rFonts w:ascii="Arial" w:cs="Arial" w:eastAsia="Arial" w:hAnsi="Arial"/>
          <w:sz w:val="22"/>
          <w:szCs w:val="22"/>
        </w:rPr>
        <w:t xml:space="preserve">Standard bietet Mandatory Rules, Capability Tokens, Commit Layer und WAL. Standard bietet NICHT: starke Agent-Isolation, DSC-Redundanz, Commander-Ceremony-Controls oder verpflichtendes Host-OS-Hardening. Nutzer mit sensiblen Daten sollten Hardened oder Isolated verwenden.</w:t>
      </w:r>
    </w:p>
    <w:p>
      <w:pPr>
        <w:spacing w:after="60"/>
      </w:pPr>
      <w:r>
        <w:rPr>
          <w:rFonts w:ascii="Arial" w:cs="Arial" w:eastAsia="Arial" w:hAnsi="Arial"/>
          <w:i/>
          <w:iCs/>
          <w:color w:val="2E75B6"/>
          <w:sz w:val="18"/>
          <w:szCs w:val="18"/>
        </w:rPr>
        <w:t xml:space="preserve">▶ Vollständige Spezifikation: §5.2 Security Profiles, §5.2.2 Standard Boundaries</w:t>
      </w:r>
    </w:p>
    <w:p>
      <w:r>
        <w:br w:type="page"/>
      </w:r>
    </w:p>
    <w:p>
      <w:pPr>
        <w:pStyle w:val="Heading1"/>
      </w:pPr>
      <w:r>
        <w:t xml:space="preserve">8. Mandatory Access Control</w:t>
      </w:r>
    </w:p>
    <w:p>
      <w:pPr>
        <w:spacing w:after="130"/>
      </w:pPr>
      <w:r>
        <w:rPr>
          <w:rFonts w:ascii="Arial" w:cs="Arial" w:eastAsia="Arial" w:hAnsi="Arial"/>
          <w:sz w:val="22"/>
          <w:szCs w:val="22"/>
        </w:rPr>
        <w:t xml:space="preserve">Zwei Schichten: Die elf konstitutionellen Mandatory Rules (immer aktiv, änderbar nur durch neues MAOS-Release) und die profilspezifische MAC-Policy (Minimal / Expanded / Strict).</w:t>
      </w:r>
    </w:p>
    <w:p>
      <w:pPr>
        <w:spacing w:before="140" w:after="140"/>
        <w:jc w:val="center"/>
      </w:pPr>
      <w:r>
        <w:drawing>
          <wp:inline distT="0" distB="0" distL="0" distR="0">
            <wp:extent cx="5334000" cy="2952750"/>
            <wp:effectExtent t="0" r="0" b="0" l="0"/>
            <wp:docPr id="1" name="10_mac_policy_layers" descr="10_mac_policy_layers" title="10_mac_policy_lay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34000" cy="2952750"/>
                    </a:xfrm>
                    <a:prstGeom prst="rect">
                      <a:avLst/>
                    </a:prstGeom>
                  </pic:spPr>
                </pic:pic>
              </a:graphicData>
            </a:graphic>
          </wp:inline>
        </w:drawing>
      </w:r>
    </w:p>
    <w:p>
      <w:pPr>
        <w:spacing w:after="60"/>
      </w:pPr>
      <w:r>
        <w:rPr>
          <w:rFonts w:ascii="Arial" w:cs="Arial" w:eastAsia="Arial" w:hAnsi="Arial"/>
          <w:i/>
          <w:iCs/>
          <w:color w:val="2E75B6"/>
          <w:sz w:val="18"/>
          <w:szCs w:val="18"/>
        </w:rPr>
        <w:t xml:space="preserve">▶ Vollständige Spezifikation: §10 MAC, §10.3 Profile-Specific Policy Content</w:t>
      </w:r>
    </w:p>
    <w:p>
      <w:r>
        <w:br w:type="page"/>
      </w:r>
    </w:p>
    <w:p>
      <w:pPr>
        <w:pStyle w:val="Heading1"/>
      </w:pPr>
      <w:r>
        <w:t xml:space="preserve">9. Verteilte Architektur</w:t>
      </w:r>
    </w:p>
    <w:p>
      <w:pPr>
        <w:spacing w:after="130"/>
      </w:pPr>
      <w:r>
        <w:rPr>
          <w:rFonts w:ascii="Arial" w:cs="Arial" w:eastAsia="Arial" w:hAnsi="Arial"/>
          <w:sz w:val="22"/>
          <w:szCs w:val="22"/>
        </w:rPr>
        <w:t xml:space="preserve">MAOS skaliert von einem einzelnen Rechner zu Multi-Region-Föderationen. Drei Knoten-Varianten: Sovereign (Vollversion, ~500 MB+), Sentinel (Standortcontroller, ~200–400 MB), Pawn (Lightweight-Client, ~50–100 MB). Jeder ist ein System Pod in der universellen Pod-Hierarchie.</w:t>
      </w:r>
    </w:p>
    <w:p>
      <w:pPr>
        <w:spacing w:before="140" w:after="140"/>
        <w:jc w:val="center"/>
      </w:pPr>
      <w:r>
        <w:drawing>
          <wp:inline distT="0" distB="0" distL="0" distR="0">
            <wp:extent cx="5334000" cy="3429000"/>
            <wp:effectExtent t="0" r="0" b="0" l="0"/>
            <wp:docPr id="1" name="06_distributed_hierarchy" descr="06_distributed_hierarchy" title="06_distributed_hierarch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3429000"/>
                    </a:xfrm>
                    <a:prstGeom prst="rect">
                      <a:avLst/>
                    </a:prstGeom>
                  </pic:spPr>
                </pic:pic>
              </a:graphicData>
            </a:graphic>
          </wp:inline>
        </w:drawing>
      </w:r>
    </w:p>
    <w:p>
      <w:pPr>
        <w:pStyle w:val="Heading3"/>
      </w:pPr>
      <w:r>
        <w:t xml:space="preserve">Disconnect-Verhalten mit TTL-Defaults (v5.7)</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3000"/>
        <w:gridCol w:w="6506"/>
      </w:tblGrid>
      <w:tr>
        <w:tc>
          <w:tcPr>
            <w:tcW w:type="dxa" w:w="3000"/>
            <w:tcBorders>
              <w:top w:val="single" w:color="CCCCCC" w:sz="1"/>
              <w:left w:val="single" w:color="CCCCCC" w:sz="1"/>
              <w:bottom w:val="single" w:color="CCCCCC" w:sz="1"/>
              <w:right w:val="single" w:color="CCCCCC" w:sz="1"/>
            </w:tcBorders>
            <w:shd w:fill="1A1A2E" w:val="clear"/>
            <w:tcMar>
              <w:top w:type="dxa" w:w="80"/>
              <w:left w:type="dxa" w:w="120"/>
              <w:bottom w:type="dxa" w:w="80"/>
              <w:right w:type="dxa" w:w="120"/>
            </w:tcMar>
          </w:tcPr>
          <w:p>
            <w:r>
              <w:rPr>
                <w:rFonts w:ascii="Arial" w:cs="Arial" w:eastAsia="Arial" w:hAnsi="Arial"/>
                <w:b/>
                <w:bCs/>
                <w:color w:val="FFFFFF"/>
                <w:sz w:val="19"/>
                <w:szCs w:val="19"/>
              </w:rPr>
              <w:t xml:space="preserve">Failure</w:t>
            </w:r>
          </w:p>
        </w:tc>
        <w:tc>
          <w:tcPr>
            <w:tcW w:type="dxa" w:w="6506"/>
            <w:tcBorders>
              <w:top w:val="single" w:color="CCCCCC" w:sz="1"/>
              <w:left w:val="single" w:color="CCCCCC" w:sz="1"/>
              <w:bottom w:val="single" w:color="CCCCCC" w:sz="1"/>
              <w:right w:val="single" w:color="CCCCCC" w:sz="1"/>
            </w:tcBorders>
            <w:shd w:fill="1A1A2E" w:val="clear"/>
            <w:tcMar>
              <w:top w:type="dxa" w:w="80"/>
              <w:left w:type="dxa" w:w="120"/>
              <w:bottom w:type="dxa" w:w="80"/>
              <w:right w:type="dxa" w:w="120"/>
            </w:tcMar>
          </w:tcPr>
          <w:p>
            <w:r>
              <w:rPr>
                <w:rFonts w:ascii="Arial" w:cs="Arial" w:eastAsia="Arial" w:hAnsi="Arial"/>
                <w:b/>
                <w:bCs/>
                <w:color w:val="FFFFFF"/>
                <w:sz w:val="19"/>
                <w:szCs w:val="19"/>
              </w:rPr>
              <w:t xml:space="preserve">Response</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Pawn verliert Sentinel</w:t>
            </w:r>
          </w:p>
        </w:tc>
        <w:tc>
          <w:tcPr>
            <w:tcW w:type="dxa" w:w="650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Progressive Restriction: 5m→Ring 3 pause, 15m→critical only, 60m→MSS</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Sentinel verliert Sovereign</w:t>
            </w:r>
          </w:p>
        </w:tc>
        <w:tc>
          <w:tcPr>
            <w:tcW w:type="dxa" w:w="650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Autonom mit gecachter Policy. Keine neuen Agents/Promotions.</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Partition heilt</w:t>
            </w:r>
          </w:p>
        </w:tc>
        <w:tc>
          <w:tcPr>
            <w:tcW w:type="dxa" w:w="650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Sovereign reconciled. Epoch + OCC Re-Validation.</w:t>
            </w:r>
          </w:p>
        </w:tc>
      </w:tr>
    </w:tbl>
    <w:p>
      <w:pPr>
        <w:spacing w:after="60"/>
      </w:pPr>
      <w:r>
        <w:rPr>
          <w:rFonts w:ascii="Arial" w:cs="Arial" w:eastAsia="Arial" w:hAnsi="Arial"/>
          <w:i/>
          <w:iCs/>
          <w:color w:val="2E75B6"/>
          <w:sz w:val="18"/>
          <w:szCs w:val="18"/>
        </w:rPr>
        <w:t xml:space="preserve">▶ Vollständige Spezifikation: §40 Distributed Architecture, §9.3 Token TTL Defaults</w:t>
      </w:r>
    </w:p>
    <w:p>
      <w:r>
        <w:br w:type="page"/>
      </w:r>
    </w:p>
    <w:p>
      <w:pPr>
        <w:pStyle w:val="Heading1"/>
      </w:pPr>
      <w:r>
        <w:t xml:space="preserve">10. Degradation und Recovery</w:t>
      </w:r>
    </w:p>
    <w:p>
      <w:pPr>
        <w:spacing w:after="130"/>
      </w:pPr>
      <w:r>
        <w:rPr>
          <w:rFonts w:ascii="Arial" w:cs="Arial" w:eastAsia="Arial" w:hAnsi="Arial"/>
          <w:sz w:val="22"/>
          <w:szCs w:val="22"/>
        </w:rPr>
        <w:t xml:space="preserve">MAOS unterstützt fünf abgestufte Degradierungsmodi. Bei Systemausfällen aktiviert sich die TSCA (Trusted System Control Agent) — ein privilegierter Agent für intelligente Diagnose und Wiederherstellung.</w:t>
      </w:r>
    </w:p>
    <w:p>
      <w:pPr>
        <w:spacing w:before="140" w:after="140"/>
        <w:jc w:val="center"/>
      </w:pPr>
      <w:r>
        <w:drawing>
          <wp:inline distT="0" distB="0" distL="0" distR="0">
            <wp:extent cx="5143500" cy="2952750"/>
            <wp:effectExtent t="0" r="0" b="0" l="0"/>
            <wp:docPr id="1" name="05_degradation_ladder" descr="05_degradation_ladder" title="05_degradation_lad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143500" cy="2952750"/>
                    </a:xfrm>
                    <a:prstGeom prst="rect">
                      <a:avLst/>
                    </a:prstGeom>
                  </pic:spPr>
                </pic:pic>
              </a:graphicData>
            </a:graphic>
          </wp:inline>
        </w:drawing>
      </w:r>
    </w:p>
    <w:p>
      <w:pPr>
        <w:spacing w:before="140" w:after="140"/>
        <w:jc w:val="center"/>
      </w:pPr>
      <w:r>
        <w:drawing>
          <wp:inline distT="0" distB="0" distL="0" distR="0">
            <wp:extent cx="5143500" cy="3333750"/>
            <wp:effectExtent t="0" r="0" b="0" l="0"/>
            <wp:docPr id="1" name="12_recovery_tsca_flow" descr="12_recovery_tsca_flow" title="12_recovery_tsca_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143500" cy="3333750"/>
                    </a:xfrm>
                    <a:prstGeom prst="rect">
                      <a:avLst/>
                    </a:prstGeom>
                  </pic:spPr>
                </pic:pic>
              </a:graphicData>
            </a:graphic>
          </wp:inline>
        </w:drawing>
      </w:r>
    </w:p>
    <w:p>
      <w:pPr>
        <w:spacing w:after="60"/>
      </w:pPr>
      <w:r>
        <w:rPr>
          <w:rFonts w:ascii="Arial" w:cs="Arial" w:eastAsia="Arial" w:hAnsi="Arial"/>
          <w:i/>
          <w:iCs/>
          <w:color w:val="2E75B6"/>
          <w:sz w:val="18"/>
          <w:szCs w:val="18"/>
        </w:rPr>
        <w:t xml:space="preserve">▶ Vollständige Spezifikation: §38 Resilience Architecture, §38.7 TSCA</w:t>
      </w:r>
    </w:p>
    <w:p>
      <w:r>
        <w:br w:type="page"/>
      </w:r>
    </w:p>
    <w:p>
      <w:pPr>
        <w:pStyle w:val="Heading1"/>
      </w:pPr>
      <w:r>
        <w:t xml:space="preserve">11. Aggregate Monitoring (v5.7)</w:t>
      </w:r>
    </w:p>
    <w:p>
      <w:pPr>
        <w:spacing w:after="130"/>
      </w:pPr>
      <w:r>
        <w:rPr>
          <w:rFonts w:ascii="Arial" w:cs="Arial" w:eastAsia="Arial" w:hAnsi="Arial"/>
          <w:sz w:val="22"/>
          <w:szCs w:val="22"/>
        </w:rPr>
        <w:t xml:space="preserve">Einzelne Aktionen können den DSC bestehen, aber in der Summe ein Exfiltrationsmuster bilden. Aggregate Monitoring trackt kumulative Metriken pro Agent und eskaliert bei Schwellenwertüberschreitung.</w:t>
      </w:r>
    </w:p>
    <w:p>
      <w:pPr>
        <w:spacing w:before="140" w:after="140"/>
        <w:jc w:val="center"/>
      </w:pPr>
      <w:r>
        <w:drawing>
          <wp:inline distT="0" distB="0" distL="0" distR="0">
            <wp:extent cx="5143500" cy="2571750"/>
            <wp:effectExtent t="0" r="0" b="0" l="0"/>
            <wp:docPr id="1" name="11_aggregate_monitoring" descr="11_aggregate_monitoring" title="11_aggregate_monitor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143500" cy="2571750"/>
                    </a:xfrm>
                    <a:prstGeom prst="rect">
                      <a:avLst/>
                    </a:prstGeom>
                  </pic:spPr>
                </pic:pic>
              </a:graphicData>
            </a:graphic>
          </wp:inline>
        </w:drawing>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000"/>
        <w:gridCol w:w="2753"/>
        <w:gridCol w:w="2753"/>
      </w:tblGrid>
      <w:tr>
        <w:tc>
          <w:tcPr>
            <w:tcW w:type="dxa" w:w="4000"/>
            <w:tcBorders>
              <w:top w:val="single" w:color="CCCCCC" w:sz="1"/>
              <w:left w:val="single" w:color="CCCCCC" w:sz="1"/>
              <w:bottom w:val="single" w:color="CCCCCC" w:sz="1"/>
              <w:right w:val="single" w:color="CCCCCC" w:sz="1"/>
            </w:tcBorders>
            <w:shd w:fill="1A1A2E" w:val="clear"/>
            <w:tcMar>
              <w:top w:type="dxa" w:w="80"/>
              <w:left w:type="dxa" w:w="120"/>
              <w:bottom w:type="dxa" w:w="80"/>
              <w:right w:type="dxa" w:w="120"/>
            </w:tcMar>
          </w:tcPr>
          <w:p>
            <w:r>
              <w:rPr>
                <w:rFonts w:ascii="Arial" w:cs="Arial" w:eastAsia="Arial" w:hAnsi="Arial"/>
                <w:b/>
                <w:bCs/>
                <w:color w:val="FFFFFF"/>
                <w:sz w:val="19"/>
                <w:szCs w:val="19"/>
              </w:rPr>
              <w:t xml:space="preserve">Metrik</w:t>
            </w:r>
          </w:p>
        </w:tc>
        <w:tc>
          <w:tcPr>
            <w:tcW w:type="dxa" w:w="2753"/>
            <w:tcBorders>
              <w:top w:val="single" w:color="CCCCCC" w:sz="1"/>
              <w:left w:val="single" w:color="CCCCCC" w:sz="1"/>
              <w:bottom w:val="single" w:color="CCCCCC" w:sz="1"/>
              <w:right w:val="single" w:color="CCCCCC" w:sz="1"/>
            </w:tcBorders>
            <w:shd w:fill="1A1A2E" w:val="clear"/>
            <w:tcMar>
              <w:top w:type="dxa" w:w="80"/>
              <w:left w:type="dxa" w:w="120"/>
              <w:bottom w:type="dxa" w:w="80"/>
              <w:right w:type="dxa" w:w="120"/>
            </w:tcMar>
          </w:tcPr>
          <w:p>
            <w:r>
              <w:rPr>
                <w:rFonts w:ascii="Arial" w:cs="Arial" w:eastAsia="Arial" w:hAnsi="Arial"/>
                <w:b/>
                <w:bCs/>
                <w:color w:val="FFFFFF"/>
                <w:sz w:val="19"/>
                <w:szCs w:val="19"/>
              </w:rPr>
              <w:t xml:space="preserve">Default-Schwelle</w:t>
            </w:r>
          </w:p>
        </w:tc>
        <w:tc>
          <w:tcPr>
            <w:tcW w:type="dxa" w:w="2753"/>
            <w:tcBorders>
              <w:top w:val="single" w:color="CCCCCC" w:sz="1"/>
              <w:left w:val="single" w:color="CCCCCC" w:sz="1"/>
              <w:bottom w:val="single" w:color="CCCCCC" w:sz="1"/>
              <w:right w:val="single" w:color="CCCCCC" w:sz="1"/>
            </w:tcBorders>
            <w:shd w:fill="1A1A2E" w:val="clear"/>
            <w:tcMar>
              <w:top w:type="dxa" w:w="80"/>
              <w:left w:type="dxa" w:w="120"/>
              <w:bottom w:type="dxa" w:w="80"/>
              <w:right w:type="dxa" w:w="120"/>
            </w:tcMar>
          </w:tcPr>
          <w:p>
            <w:r>
              <w:rPr>
                <w:rFonts w:ascii="Arial" w:cs="Arial" w:eastAsia="Arial" w:hAnsi="Arial"/>
                <w:b/>
                <w:bCs/>
                <w:color w:val="FFFFFF"/>
                <w:sz w:val="19"/>
                <w:szCs w:val="19"/>
              </w:rPr>
              <w:t xml:space="preserve">Fenster</w:t>
            </w:r>
          </w:p>
        </w:tc>
      </w:tr>
      <w:tr>
        <w:tc>
          <w:tcPr>
            <w:tcW w:type="dxa" w:w="4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Outbound-Datenvolumen</w:t>
            </w:r>
          </w:p>
        </w:tc>
        <w:tc>
          <w:tcPr>
            <w:tcW w:type="dxa" w:w="2753"/>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100 MB</w:t>
            </w:r>
          </w:p>
        </w:tc>
        <w:tc>
          <w:tcPr>
            <w:tcW w:type="dxa" w:w="2753"/>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24h</w:t>
            </w:r>
          </w:p>
        </w:tc>
      </w:tr>
      <w:tr>
        <w:tc>
          <w:tcPr>
            <w:tcW w:type="dxa" w:w="4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Unique externe Empfänger</w:t>
            </w:r>
          </w:p>
        </w:tc>
        <w:tc>
          <w:tcPr>
            <w:tcW w:type="dxa" w:w="2753"/>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50</w:t>
            </w:r>
          </w:p>
        </w:tc>
        <w:tc>
          <w:tcPr>
            <w:tcW w:type="dxa" w:w="2753"/>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7 Tage</w:t>
            </w:r>
          </w:p>
        </w:tc>
      </w:tr>
      <w:tr>
        <w:tc>
          <w:tcPr>
            <w:tcW w:type="dxa" w:w="4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Externe API-Calls</w:t>
            </w:r>
          </w:p>
        </w:tc>
        <w:tc>
          <w:tcPr>
            <w:tcW w:type="dxa" w:w="2753"/>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500</w:t>
            </w:r>
          </w:p>
        </w:tc>
        <w:tc>
          <w:tcPr>
            <w:tcW w:type="dxa" w:w="2753"/>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24h</w:t>
            </w:r>
          </w:p>
        </w:tc>
      </w:tr>
      <w:tr>
        <w:tc>
          <w:tcPr>
            <w:tcW w:type="dxa" w:w="4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IFC-Declassifications</w:t>
            </w:r>
          </w:p>
        </w:tc>
        <w:tc>
          <w:tcPr>
            <w:tcW w:type="dxa" w:w="2753"/>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10</w:t>
            </w:r>
          </w:p>
        </w:tc>
        <w:tc>
          <w:tcPr>
            <w:tcW w:type="dxa" w:w="2753"/>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24h</w:t>
            </w:r>
          </w:p>
        </w:tc>
      </w:tr>
      <w:tr>
        <w:tc>
          <w:tcPr>
            <w:tcW w:type="dxa" w:w="4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Outbound zu einzelnem A2A-Agent</w:t>
            </w:r>
          </w:p>
        </w:tc>
        <w:tc>
          <w:tcPr>
            <w:tcW w:type="dxa" w:w="2753"/>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50 MB</w:t>
            </w:r>
          </w:p>
        </w:tc>
        <w:tc>
          <w:tcPr>
            <w:tcW w:type="dxa" w:w="2753"/>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24h</w:t>
            </w:r>
          </w:p>
        </w:tc>
      </w:tr>
    </w:tbl>
    <w:p>
      <w:pPr>
        <w:pBdr>
          <w:left w:val="single" w:color="E67E22" w:sz="5" w:space="1"/>
        </w:pBdr>
        <w:spacing w:before="60" w:after="100"/>
        <w:ind w:left="200"/>
      </w:pPr>
      <w:r>
        <w:rPr>
          <w:rFonts w:ascii="Arial" w:cs="Arial" w:eastAsia="Arial" w:hAnsi="Arial"/>
          <w:b/>
          <w:bCs/>
          <w:color w:val="E67E22"/>
          <w:sz w:val="19"/>
          <w:szCs w:val="19"/>
        </w:rPr>
        <w:t xml:space="preserve">Residual Risk: </w:t>
      </w:r>
      <w:r>
        <w:rPr>
          <w:rFonts w:ascii="Arial" w:cs="Arial" w:eastAsia="Arial" w:hAnsi="Arial"/>
          <w:color w:val="E67E22"/>
          <w:sz w:val="19"/>
          <w:szCs w:val="19"/>
        </w:rPr>
        <w:t xml:space="preserve">Aggregate Monitoring erkennt volumenbasierte Exfiltration, nicht semantisch transformierte Datenketten.</w:t>
      </w:r>
    </w:p>
    <w:p>
      <w:pPr>
        <w:spacing w:after="60"/>
      </w:pPr>
      <w:r>
        <w:rPr>
          <w:rFonts w:ascii="Arial" w:cs="Arial" w:eastAsia="Arial" w:hAnsi="Arial"/>
          <w:i/>
          <w:iCs/>
          <w:color w:val="2E75B6"/>
          <w:sz w:val="18"/>
          <w:szCs w:val="18"/>
        </w:rPr>
        <w:t xml:space="preserve">▶ Vollständige Spezifikation: §49.11 HACF Aggregate Monitoring</w:t>
      </w:r>
    </w:p>
    <w:p>
      <w:r>
        <w:br w:type="page"/>
      </w:r>
    </w:p>
    <w:p>
      <w:pPr>
        <w:pStyle w:val="Heading1"/>
      </w:pPr>
      <w:r>
        <w:t xml:space="preserve">12. Der Organismus und das Mission-Konzept</w:t>
      </w:r>
    </w:p>
    <w:p>
      <w:pPr>
        <w:spacing w:before="140" w:after="140"/>
        <w:jc w:val="center"/>
      </w:pPr>
      <w:r>
        <w:drawing>
          <wp:inline distT="0" distB="0" distL="0" distR="0">
            <wp:extent cx="4572000" cy="3619500"/>
            <wp:effectExtent t="0" r="0" b="0" l="0"/>
            <wp:docPr id="1" name="13_organism_metaphor" descr="13_organism_metaphor" title="13_organism_metaph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572000" cy="3619500"/>
                    </a:xfrm>
                    <a:prstGeom prst="rect">
                      <a:avLst/>
                    </a:prstGeom>
                  </pic:spPr>
                </pic:pic>
              </a:graphicData>
            </a:graphic>
          </wp:inline>
        </w:drawing>
      </w:r>
    </w:p>
    <w:p>
      <w:pPr>
        <w:spacing w:after="130"/>
      </w:pPr>
      <w:r>
        <w:rPr>
          <w:rFonts w:ascii="Arial" w:cs="Arial" w:eastAsia="Arial" w:hAnsi="Arial"/>
          <w:sz w:val="22"/>
          <w:szCs w:val="22"/>
        </w:rPr>
        <w:t xml:space="preserve">7 von 9 Zelltypen operieren ohne LLM-Abhängigkeit. Wenn alle Provider ausfallen, tritt das System in den Rule-Based Mode ein: lebendig, sicher, wartend auf die Rückkehr des Bewusstseins.</w:t>
      </w:r>
    </w:p>
    <w:p>
      <w:pPr>
        <w:pStyle w:val="Heading3"/>
      </w:pPr>
      <w:r>
        <w:t xml:space="preserve">Mission Context (v5.8)</w:t>
      </w:r>
    </w:p>
    <w:p>
      <w:pPr>
        <w:spacing w:after="130"/>
      </w:pPr>
      <w:r>
        <w:rPr>
          <w:rFonts w:ascii="Arial" w:cs="Arial" w:eastAsia="Arial" w:hAnsi="Arial"/>
          <w:sz w:val="22"/>
          <w:szCs w:val="22"/>
        </w:rPr>
        <w:t xml:space="preserve">Ein Task Plan kann ein mission_statement enthalten — ein menschlich verfasstes Zielbeschreibung, das als System-Prompt-Fragment an alle beteiligten Agenten propagiert wird. In medizinischen und Forschungs-Szenarien stellt das sicher, dass alle Agenten dasselbe Gesamtziel verfolgen.</w:t>
      </w:r>
    </w:p>
    <w:p>
      <w:pPr>
        <w:spacing w:after="60"/>
      </w:pPr>
      <w:r>
        <w:rPr>
          <w:rFonts w:ascii="Arial" w:cs="Arial" w:eastAsia="Arial" w:hAnsi="Arial"/>
          <w:i/>
          <w:iCs/>
          <w:color w:val="2E75B6"/>
          <w:sz w:val="18"/>
          <w:szCs w:val="18"/>
        </w:rPr>
        <w:t xml:space="preserve">▶ Vollständige Spezifikation: §17.1 Phase 2 Mission Context, §30.8 Cell Types</w:t>
      </w:r>
    </w:p>
    <w:p>
      <w:pPr>
        <w:spacing w:after="180"/>
      </w:pPr>
    </w:p>
    <w:p>
      <w:pPr>
        <w:pStyle w:val="Heading1"/>
      </w:pPr>
      <w:r>
        <w:t xml:space="preserve">13. Menschliche Aufsicht (HACF)</w:t>
      </w:r>
    </w:p>
    <w:p>
      <w:pPr>
        <w:spacing w:after="130"/>
      </w:pPr>
      <w:r>
        <w:rPr>
          <w:rFonts w:ascii="Arial" w:cs="Arial" w:eastAsia="Arial" w:hAnsi="Arial"/>
          <w:sz w:val="22"/>
          <w:szCs w:val="22"/>
        </w:rPr>
        <w:t xml:space="preserve">Das Human-AI Consensus Framework definiert vier Stufen der menschlichen Beteiligung:</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800"/>
        <w:gridCol w:w="2706"/>
        <w:gridCol w:w="6000"/>
      </w:tblGrid>
      <w:tr>
        <w:tc>
          <w:tcPr>
            <w:tcW w:type="dxa" w:w="800"/>
            <w:tcBorders>
              <w:top w:val="single" w:color="CCCCCC" w:sz="1"/>
              <w:left w:val="single" w:color="CCCCCC" w:sz="1"/>
              <w:bottom w:val="single" w:color="CCCCCC" w:sz="1"/>
              <w:right w:val="single" w:color="CCCCCC" w:sz="1"/>
            </w:tcBorders>
            <w:shd w:fill="1A1A2E" w:val="clear"/>
            <w:tcMar>
              <w:top w:type="dxa" w:w="80"/>
              <w:left w:type="dxa" w:w="120"/>
              <w:bottom w:type="dxa" w:w="80"/>
              <w:right w:type="dxa" w:w="120"/>
            </w:tcMar>
          </w:tcPr>
          <w:p>
            <w:r>
              <w:rPr>
                <w:rFonts w:ascii="Arial" w:cs="Arial" w:eastAsia="Arial" w:hAnsi="Arial"/>
                <w:b/>
                <w:bCs/>
                <w:color w:val="FFFFFF"/>
                <w:sz w:val="19"/>
                <w:szCs w:val="19"/>
              </w:rPr>
              <w:t xml:space="preserve">Level</w:t>
            </w:r>
          </w:p>
        </w:tc>
        <w:tc>
          <w:tcPr>
            <w:tcW w:type="dxa" w:w="2706"/>
            <w:tcBorders>
              <w:top w:val="single" w:color="CCCCCC" w:sz="1"/>
              <w:left w:val="single" w:color="CCCCCC" w:sz="1"/>
              <w:bottom w:val="single" w:color="CCCCCC" w:sz="1"/>
              <w:right w:val="single" w:color="CCCCCC" w:sz="1"/>
            </w:tcBorders>
            <w:shd w:fill="1A1A2E" w:val="clear"/>
            <w:tcMar>
              <w:top w:type="dxa" w:w="80"/>
              <w:left w:type="dxa" w:w="120"/>
              <w:bottom w:type="dxa" w:w="80"/>
              <w:right w:type="dxa" w:w="120"/>
            </w:tcMar>
          </w:tcPr>
          <w:p>
            <w:r>
              <w:rPr>
                <w:rFonts w:ascii="Arial" w:cs="Arial" w:eastAsia="Arial" w:hAnsi="Arial"/>
                <w:b/>
                <w:bCs/>
                <w:color w:val="FFFFFF"/>
                <w:sz w:val="19"/>
                <w:szCs w:val="19"/>
              </w:rPr>
              <w:t xml:space="preserve">Name</w:t>
            </w:r>
          </w:p>
        </w:tc>
        <w:tc>
          <w:tcPr>
            <w:tcW w:type="dxa" w:w="6000"/>
            <w:tcBorders>
              <w:top w:val="single" w:color="CCCCCC" w:sz="1"/>
              <w:left w:val="single" w:color="CCCCCC" w:sz="1"/>
              <w:bottom w:val="single" w:color="CCCCCC" w:sz="1"/>
              <w:right w:val="single" w:color="CCCCCC" w:sz="1"/>
            </w:tcBorders>
            <w:shd w:fill="1A1A2E" w:val="clear"/>
            <w:tcMar>
              <w:top w:type="dxa" w:w="80"/>
              <w:left w:type="dxa" w:w="120"/>
              <w:bottom w:type="dxa" w:w="80"/>
              <w:right w:type="dxa" w:w="120"/>
            </w:tcMar>
          </w:tcPr>
          <w:p>
            <w:r>
              <w:rPr>
                <w:rFonts w:ascii="Arial" w:cs="Arial" w:eastAsia="Arial" w:hAnsi="Arial"/>
                <w:b/>
                <w:bCs/>
                <w:color w:val="FFFFFF"/>
                <w:sz w:val="19"/>
                <w:szCs w:val="19"/>
              </w:rPr>
              <w:t xml:space="preserve">Menschliche Rolle</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1</w:t>
            </w:r>
          </w:p>
        </w:tc>
        <w:tc>
          <w:tcPr>
            <w:tcW w:type="dxa" w:w="270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Inform</w:t>
            </w:r>
          </w:p>
        </w:tc>
        <w:tc>
          <w:tcPr>
            <w:tcW w:type="dxa" w:w="6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Agent handelt autonom, Mensch wird informiert</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2</w:t>
            </w:r>
          </w:p>
        </w:tc>
        <w:tc>
          <w:tcPr>
            <w:tcW w:type="dxa" w:w="270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Recommend</w:t>
            </w:r>
          </w:p>
        </w:tc>
        <w:tc>
          <w:tcPr>
            <w:tcW w:type="dxa" w:w="6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Agent empfiehlt, Mensch entscheidet</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3</w:t>
            </w:r>
          </w:p>
        </w:tc>
        <w:tc>
          <w:tcPr>
            <w:tcW w:type="dxa" w:w="270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Deliberate</w:t>
            </w:r>
          </w:p>
        </w:tc>
        <w:tc>
          <w:tcPr>
            <w:tcW w:type="dxa" w:w="6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Mensch und Agent erarbeiten gemeinsam eine Entscheidung</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4</w:t>
            </w:r>
          </w:p>
        </w:tc>
        <w:tc>
          <w:tcPr>
            <w:tcW w:type="dxa" w:w="270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Override</w:t>
            </w:r>
          </w:p>
        </w:tc>
        <w:tc>
          <w:tcPr>
            <w:tcW w:type="dxa" w:w="6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Mensch überschreibt — mit Cooling-Off, Diff, Out-of-Band-Verifikation</w:t>
            </w:r>
          </w:p>
        </w:tc>
      </w:tr>
    </w:tbl>
    <w:p>
      <w:pPr>
        <w:spacing w:after="130"/>
      </w:pPr>
      <w:r>
        <w:rPr>
          <w:rFonts w:ascii="Arial" w:cs="Arial" w:eastAsia="Arial" w:hAnsi="Arial"/>
          <w:sz w:val="22"/>
          <w:szCs w:val="22"/>
        </w:rPr>
        <w:t xml:space="preserve">Der Commander beobachtet über drei Oberflächen: Dashboard (reichste Info, nicht Root of Trust), Trusted Display Path (minimale Wahrheit, &lt;500 LoC, separater Prozess), und Trusted Decision Packet (Freigabe-Kontext für kritische Entscheidungen).</w:t>
      </w:r>
    </w:p>
    <w:p>
      <w:pPr>
        <w:spacing w:after="60"/>
      </w:pPr>
      <w:r>
        <w:rPr>
          <w:rFonts w:ascii="Arial" w:cs="Arial" w:eastAsia="Arial" w:hAnsi="Arial"/>
          <w:i/>
          <w:iCs/>
          <w:color w:val="2E75B6"/>
          <w:sz w:val="18"/>
          <w:szCs w:val="18"/>
        </w:rPr>
        <w:t xml:space="preserve">▶ Vollständige Spezifikation: §50 HACF, §43 Human-Machine Interface</w:t>
      </w:r>
    </w:p>
    <w:p>
      <w:r>
        <w:br w:type="page"/>
      </w:r>
    </w:p>
    <w:p>
      <w:pPr>
        <w:pStyle w:val="Heading1"/>
      </w:pPr>
      <w:r>
        <w:t xml:space="preserve">Zusammenfassung</w:t>
      </w:r>
    </w:p>
    <w:p>
      <w:pPr>
        <w:spacing w:after="130"/>
      </w:pPr>
      <w:r>
        <w:rPr>
          <w:rFonts w:ascii="Arial" w:cs="Arial" w:eastAsia="Arial" w:hAnsi="Arial"/>
          <w:sz w:val="22"/>
          <w:szCs w:val="22"/>
        </w:rPr>
        <w:t xml:space="preserve">MAOS ist die erste vollständige Referenzarchitektur für sichere Multi-Agent-Systeme. Sie adressiert alle zehn Risiken des OWASP Agentic AI Top 10, ist auf die Anforderungen des EU AI Act ausgelegt, und skaliert von einem einzelnen Laptop bis zu unternehmensweiten Föderationen.</w:t>
      </w:r>
    </w:p>
    <w:p>
      <w:pPr>
        <w:spacing w:after="130"/>
      </w:pPr>
      <w:r>
        <w:rPr>
          <w:rFonts w:ascii="Arial" w:cs="Arial" w:eastAsia="Arial" w:hAnsi="Arial"/>
          <w:sz w:val="22"/>
          <w:szCs w:val="22"/>
        </w:rPr>
        <w:t xml:space="preserve">Die fünf Kernmechanismen — Commit Layer, Capability Tokens, Sentry/Gateways, WAL, und DSC — bilden die minimale Implementierung, die MAOS bereits zum sichersten Agent-Framework auf dem Markt machen würde.</w:t>
      </w:r>
    </w:p>
    <w:p>
      <w:pPr>
        <w:spacing w:after="180"/>
      </w:pPr>
    </w:p>
    <w:p>
      <w:pPr>
        <w:spacing w:after="130"/>
      </w:pPr>
      <w:r>
        <w:rPr>
          <w:rFonts w:ascii="Arial" w:cs="Arial" w:eastAsia="Arial" w:hAnsi="Arial"/>
          <w:sz w:val="22"/>
          <w:szCs w:val="22"/>
        </w:rPr>
        <w:t xml:space="preserve">Die vollständige technische Spezifikation (v5.8, 4.500+ Zeilen) liegt diesem Dokument als Referenz bei. Sie enthält die formalen Definitionen aller Mechanismen, Sicherheitsinvarianten, Conformance-Anforderungen und den vollständigen Glossar.</w:t>
      </w:r>
    </w:p>
    <w:p>
      <w:pPr>
        <w:spacing w:after="180"/>
      </w:pPr>
    </w:p>
    <w:p>
      <w:pPr>
        <w:spacing w:after="130"/>
      </w:pPr>
      <w:r>
        <w:rPr>
          <w:rFonts w:ascii="Arial" w:cs="Arial" w:eastAsia="Arial" w:hAnsi="Arial"/>
          <w:i/>
          <w:iCs/>
          <w:color w:val="666666"/>
          <w:sz w:val="20"/>
          <w:szCs w:val="20"/>
        </w:rPr>
        <w:t xml:space="preserve">MAOS — Multi-Agent Operating System v5.8 — Practical Convergence Edition.</w:t>
      </w:r>
    </w:p>
    <w:sectPr>
      <w:headerReference w:type="default" r:id="rId6"/>
      <w:footerReference w:type="default" r:id="rId7"/>
      <w:pgSz w:w="11906" w:h="16838" w:orient="portrait"/>
      <w:pgMar w:top="1300" w:right="1100" w:bottom="13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7"/>
        <w:szCs w:val="17"/>
      </w:rPr>
      <w:t xml:space="preserve">Udo Hellmann • Seite </w:t>
    </w:r>
    <w:r>
      <w:rPr>
        <w:rFonts w:ascii="Arial" w:cs="Arial" w:eastAsia="Arial" w:hAnsi="Arial"/>
        <w:color w:val="999999"/>
        <w:sz w:val="17"/>
        <w:szCs w:val="17"/>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4" w:space="4"/>
      </w:pBdr>
      <w:jc w:val="right"/>
    </w:pPr>
    <w:r>
      <w:rPr>
        <w:rFonts w:ascii="Arial" w:cs="Arial" w:eastAsia="Arial" w:hAnsi="Arial"/>
        <w:color w:val="999999"/>
        <w:sz w:val="17"/>
        <w:szCs w:val="17"/>
      </w:rPr>
      <w:t xml:space="preserve">MAOS Architecture Overview v5.8</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60" w:after="200"/>
      <w:outlineLvl w:val="0"/>
    </w:pPr>
    <w:rPr>
      <w:rFonts w:ascii="Arial" w:cs="Arial" w:eastAsia="Arial" w:hAnsi="Arial"/>
      <w:b/>
      <w:bCs/>
      <w:color w:val="1A1A2E"/>
      <w:sz w:val="34"/>
      <w:szCs w:val="34"/>
    </w:rPr>
  </w:style>
  <w:style w:type="paragraph" w:styleId="Heading2">
    <w:name w:val="Heading 2"/>
    <w:basedOn w:val="Normal"/>
    <w:next w:val="Normal"/>
    <w:qFormat/>
    <w:pPr>
      <w:spacing w:before="260" w:after="150"/>
      <w:outlineLvl w:val="1"/>
    </w:pPr>
    <w:rPr>
      <w:rFonts w:ascii="Arial" w:cs="Arial" w:eastAsia="Arial" w:hAnsi="Arial"/>
      <w:b/>
      <w:bCs/>
      <w:color w:val="2E75B6"/>
      <w:sz w:val="26"/>
      <w:szCs w:val="26"/>
    </w:rPr>
  </w:style>
  <w:style w:type="paragraph" w:styleId="Heading3">
    <w:name w:val="Heading 3"/>
    <w:basedOn w:val="Normal"/>
    <w:next w:val="Normal"/>
    <w:qFormat/>
    <w:pPr>
      <w:spacing w:before="180" w:after="100"/>
      <w:outlineLvl w:val="2"/>
    </w:pPr>
    <w:rPr>
      <w:rFonts w:ascii="Arial" w:cs="Arial" w:eastAsia="Arial" w:hAnsi="Arial"/>
      <w:b/>
      <w:bCs/>
      <w:color w:val="444444"/>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0f0256300469e7df248ded9c09f1dc14105eeb8d.png"/><Relationship Id="rId9" Type="http://schemas.openxmlformats.org/officeDocument/2006/relationships/image" Target="media/dffe089e9d5a3f52cd54d93a9602a3025841f063.png"/><Relationship Id="rId10" Type="http://schemas.openxmlformats.org/officeDocument/2006/relationships/image" Target="media/7766ab9ec82e6a3edf4eb799ed014c4f9601f5da.png"/><Relationship Id="rId11" Type="http://schemas.openxmlformats.org/officeDocument/2006/relationships/image" Target="media/19ed70cac8a80f7cad08d07865312c461039fa71.png"/><Relationship Id="rId12" Type="http://schemas.openxmlformats.org/officeDocument/2006/relationships/image" Target="media/06dccb814052ef54dbaabe2fcb50feb27ce0a785.png"/><Relationship Id="rId13" Type="http://schemas.openxmlformats.org/officeDocument/2006/relationships/image" Target="media/9227120132a651f4ee7498dede4fbdfe3d1232c4.png"/><Relationship Id="rId14" Type="http://schemas.openxmlformats.org/officeDocument/2006/relationships/image" Target="media/8d81c3db0a928f54ac6884c2172594208e3fc453.png"/><Relationship Id="rId15" Type="http://schemas.openxmlformats.org/officeDocument/2006/relationships/image" Target="media/cebb7a581711ca773db200e422d7a4548e876bdd.png"/><Relationship Id="rId16" Type="http://schemas.openxmlformats.org/officeDocument/2006/relationships/image" Target="media/db7882dcf5a40379e3ffd545a838a483e67f749e.png"/><Relationship Id="rId17" Type="http://schemas.openxmlformats.org/officeDocument/2006/relationships/image" Target="media/7a11189d61c71da4a1d5c472de330ab3fa018bbe.png"/><Relationship Id="rId18" Type="http://schemas.openxmlformats.org/officeDocument/2006/relationships/image" Target="media/74f73194eb1dc8f7ee44d32bab72176e5faf851c.png"/><Relationship Id="rId19" Type="http://schemas.openxmlformats.org/officeDocument/2006/relationships/image" Target="media/b29be4a945b4b2d5ef1f503664f5edc38f971c0f.png"/><Relationship Id="rId20" Type="http://schemas.openxmlformats.org/officeDocument/2006/relationships/image" Target="media/96711bca9750e4c10d52a8797c8b91ef6db6d8d9.png"/><Relationship Id="rId21"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2026-03-31T11:04:57.920Z</dcterms:created>
  <dcterms:modified xsi:type="dcterms:W3CDTF">2026-03-31T11:04:57.921Z</dcterms:modified>
</cp:coreProperties>
</file>

<file path=docProps/custom.xml><?xml version="1.0" encoding="utf-8"?>
<Properties xmlns="http://schemas.openxmlformats.org/officeDocument/2006/custom-properties" xmlns:vt="http://schemas.openxmlformats.org/officeDocument/2006/docPropsVTypes"/>
</file>