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MAOS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Multi-Agent Operating System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Das erste Betriebssystem für sichere KI-Agenten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Executive Summary • Version 5.8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März 2026 • Udo Hellmann</w:t>
      </w:r>
    </w:p>
    <w:p>
      <w:r>
        <w:br w:type="page"/>
      </w:r>
    </w:p>
    <w:p>
      <w:pPr>
        <w:pStyle w:val="Heading1"/>
      </w:pPr>
      <w:r>
        <w:t xml:space="preserve">Das Problem</w:t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KI-Agenten können heute E-Mails versenden, Code ausführen, APIs aufrufen und Datenbanken verändern. Kein bestehendes Framework bietet die Betriebssystem-Primitiven, die verhindern, dass sie das auf unautorisierte Weise tun.</w:t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Aktuelle Agent-Frameworks (AutoGen, CrewAI, LangGraph, Google ADK) behandeln Sicherheit als Nachgedanken — eine Konfigurationsoption, die ein Entwickler setzen oder vergessen kann. Keines bietet Capability-basierte Zugriffskontrolle, Informationsfluss-Tracking, deterministische Sicherheitsentscheidungen unabhängig vom LLM, oder formale Isolationsgrenzen zwischen Agenten.</w:t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Gleichzeitig fordert der EU AI Act (August 2026) für Hochrisiko-KI-Systeme: Transparenz, menschliche Aufsicht, Robustheit und lückenlose Protokollierung. Keine bestehende Agent-Architektur erfüllt diese Anforderungen.</w:t>
      </w:r>
    </w:p>
    <w:p>
      <w:pPr>
        <w:spacing w:after="200"/>
      </w:pPr>
    </w:p>
    <w:p>
      <w:pPr>
        <w:pStyle w:val="Heading1"/>
      </w:pPr>
      <w:r>
        <w:t xml:space="preserve">Die Lösung: MAOS</w:t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MAOS (Multi-Agent Operating System) ist eine dreischichtige Architektur, die auf einem einzigen rekursiven Prinzip aufgebaut ist: dem Universal Pod. Jede Entität im System — vom einzelnen Agenten bis zum unternehmensweiten Cluster — lebt in einem Pod mit derselben Struktur: Boundary, Sentry, Gateways, Core, Identity, Health, Isolation, Checkpoint, Autonomy, Degradation.</w:t>
      </w:r>
    </w:p>
    <w:p>
      <w:pPr>
        <w:spacing w:before="160" w:after="160"/>
        <w:jc w:val="center"/>
      </w:pPr>
      <w:r>
        <w:drawing>
          <wp:inline distT="0" distB="0" distL="0" distR="0">
            <wp:extent cx="5524500" cy="1905000"/>
            <wp:effectExtent t="0" r="0" b="0" l="0"/>
            <wp:docPr id="1" name="02_security_pipeline" descr="02_security_pipeline" title="02_security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Schicht 1 — Universal Pod Specification. </w:t>
      </w:r>
      <w:r>
        <w:rPr>
          <w:rFonts w:ascii="Arial" w:cs="Arial" w:eastAsia="Arial" w:hAnsi="Arial"/>
          <w:sz w:val="23"/>
          <w:szCs w:val="23"/>
        </w:rPr>
        <w:t xml:space="preserve">Das Grundmuster. Jeder Pod hat eine Grenze, einen Wächter, kontrollierte Ein-/Ausgänge und einen Kern. Sicherheitsanalysen am Pod-Muster gelten auf allen Ebenen gleichzeitig.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Schicht 2 — MAOS Core (Sicherheitskernel). </w:t>
      </w:r>
      <w:r>
        <w:rPr>
          <w:rFonts w:ascii="Arial" w:cs="Arial" w:eastAsia="Arial" w:hAnsi="Arial"/>
          <w:sz w:val="23"/>
          <w:szCs w:val="23"/>
        </w:rPr>
        <w:t xml:space="preserve">Die deterministische Durchsetzungsschicht. Implementiert sichere Parallelität, Defense in Depth (vier Schutzringe, Capability-basierte Sicherheit, elf konstitutionelle Regeln), Crash-Sicherheit (Write-Ahead Logging), und volle Beobachtbarkeit. Benötigt kein LLM um zu funktionieren.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Schicht 3 — ACIL (Agent Cognitive Intelligence Layer). </w:t>
      </w:r>
      <w:r>
        <w:rPr>
          <w:rFonts w:ascii="Arial" w:cs="Arial" w:eastAsia="Arial" w:hAnsi="Arial"/>
          <w:sz w:val="23"/>
          <w:szCs w:val="23"/>
        </w:rPr>
        <w:t xml:space="preserve">Die KI-spezifische kognitive Schicht. Versteht, dass Agenten Kontextfenster, Halluzinationsrisiken und kognitive Grenzen haben.</w:t>
      </w:r>
    </w:p>
    <w:p>
      <w:pPr>
        <w:spacing w:after="200"/>
      </w:pPr>
    </w:p>
    <w:p>
      <w:pPr>
        <w:pStyle w:val="Heading1"/>
      </w:pPr>
      <w:r>
        <w:t xml:space="preserve">Fünf Alleinstellungsmerkmale</w:t>
      </w:r>
    </w:p>
    <w:p>
      <w:pPr>
        <w:pStyle w:val="Heading2"/>
      </w:pPr>
      <w:r>
        <w:t xml:space="preserve">1. Deterministische Sicherheit unabhängig vom LLM</w:t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Der Deterministic Security Core (DSC) ist kein LLM. Er ist reiner, deterministischer, formal verifizierbarer Code. Er trifft binäre Entscheidungen — erlauben oder verweigern — basierend auf mathematischen Prüfungen, nicht auf semantischer Interpretation. Sieben Prüfungen in fester Reihenfolge: Capability Token, Rate Limit, Budget, IFC-Label, Mandatory Rules, Concurrency, Content Filter. Wenn das LLM kompromittiert wird, bleibt der DSC intakt.</w:t>
      </w:r>
    </w:p>
    <w:p>
      <w:pPr>
        <w:pStyle w:val="Heading2"/>
      </w:pPr>
      <w:r>
        <w:t xml:space="preserve">2. Commit Layer — der einzige Pfad zur Außenwelt</w:t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Kein Agent kann die Außenwelt direkt berühren. Jede Aktion mit Seiteneffekten (E-Mail senden, Datei ändern, API aufrufen) geht durch das Commit Layer — eine zentrale Pipeline, die validiert, protokolliert und bei Bedarf zurückrollt. Das ist der fundamentale Unterschied zu jedem existierenden Framework, in dem Agents einfach API-Calls machen.</w:t>
      </w:r>
    </w:p>
    <w:p>
      <w:pPr>
        <w:pStyle w:val="Heading2"/>
      </w:pPr>
      <w:r>
        <w:t xml:space="preserve">3. Capability Tokens — kryptographisch signierte Berechtigungen</w:t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Agents haben nicht implizit Zugriff auf alles. Sie erhalten kryptographisch signierte Tokens mit begrenztem Scope, begrenzter Gültigkeit und begrenztem Budget. Ein E-Mail-Agent kann E-Mails senden, aber nicht auf das Dateisystem zugreifen. Ein Daten-Agent kann Dateien lesen, aber keine E-Mails senden. Jede Berechtigung ist explizit, überprüfbar und widerrufbar.</w:t>
      </w:r>
    </w:p>
    <w:p>
      <w:pPr>
        <w:pStyle w:val="Heading2"/>
      </w:pPr>
      <w:r>
        <w:t xml:space="preserve">4. Vier Schutzringe — wie ein Betriebssystem</w:t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Ring 0 (Kernel) enthält nur vertrauenswürdigen Systemcode. Ring 1 (System Services) bietet Infrastrukturdienste. Ring 2 (Trusted Agents) beherbergt verifizierte Agenten. Ring 3 (Untrusted Agents) isoliert nicht-verifizierte Agenten in Sandboxes. Kein Agent-Code läuft jemals in Ring 0.</w:t>
      </w:r>
    </w:p>
    <w:p>
      <w:pPr>
        <w:pStyle w:val="Heading2"/>
      </w:pPr>
      <w:r>
        <w:t xml:space="preserve">5. Biologisches Immunsystem</w:t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MAOS verteidigt sich wie ein Organismus: mit einer 5-stufigen Quarantäne-Kaskade, Danger Signals, Security Fever Mode, Agent Apoptosis (programmierter Zelltod), und einem Immungedächtnis das aus jeder abgewehrten Bedrohung lernt. 7 von 9 Zelltypen operieren ohne LLM — wenn alle Provider ausfallen, tritt das System in einen sicheren Rule-Based Mode ein.</w:t>
      </w:r>
    </w:p>
    <w:p>
      <w:r>
        <w:br w:type="page"/>
      </w:r>
    </w:p>
    <w:p>
      <w:pPr>
        <w:pStyle w:val="Heading1"/>
      </w:pPr>
      <w:r>
        <w:t xml:space="preserve">Vergleich mit bestehenden Frameworks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100"/>
        <w:gridCol w:w="1200"/>
        <w:gridCol w:w="1300"/>
        <w:gridCol w:w="13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AutoGen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CrewAI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LangGraph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ADK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Rings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(4 Ringe)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Sicherheit ohne LLM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(DSC)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 Tokens (PQC)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Pre-Execution Evaluation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IFC Taint Tracking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Biologisches Immunsystem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(7 Mech.)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Post-Quantum Crypto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PKI + Transparency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Self-Healing (Quarantäne)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(5 Stufen)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Formale Redundanz (TMR)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(Triple DSC)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Display Path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AI Act Alignment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(Design)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Drei Sicherheitsprofile</w:t>
      </w:r>
    </w:p>
    <w:p>
      <w:pPr>
        <w:spacing w:before="160" w:after="160"/>
        <w:jc w:val="center"/>
      </w:pPr>
      <w:r>
        <w:drawing>
          <wp:inline distT="0" distB="0" distL="0" distR="0">
            <wp:extent cx="5334000" cy="2571750"/>
            <wp:effectExtent t="0" r="0" b="0" l="0"/>
            <wp:docPr id="1" name="09_profile_comparison" descr="09_profile_comparison" title="09_profil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Standard für Entwicklung und persönlichen Einsatz. Hardened für Unternehmen und sensible Daten. Isolated für regulierte Industrien (Gesundheitswesen, Regierung, Finanzen). Alle Profile teilen die elf konstitutionellen Mandatory Rules — was sich ändert, ist die Stärke der Isolation, der Redundanz und der menschlichen Aufsicht.</w:t>
      </w:r>
    </w:p>
    <w:p>
      <w:pPr>
        <w:spacing w:after="200"/>
      </w:pPr>
    </w:p>
    <w:p>
      <w:pPr>
        <w:pStyle w:val="Heading1"/>
      </w:pPr>
      <w:r>
        <w:t xml:space="preserve">Einsatzgebiete</w:t>
      </w:r>
    </w:p>
    <w:p>
      <w:pPr>
        <w:spacing w:after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Medizin: </w:t>
      </w:r>
      <w:r>
        <w:rPr>
          <w:rFonts w:ascii="Arial" w:cs="Arial" w:eastAsia="Arial" w:hAnsi="Arial"/>
          <w:sz w:val="23"/>
          <w:szCs w:val="23"/>
        </w:rPr>
        <w:t xml:space="preserve">Multi-Agent-Diagnose mit Befunderstellung. Bildanalyse, Laborwerte und Anamnese arbeiten an einer gemeinsamen Mission. IFC-Taint-Tracking schützt Patientendaten. HACF Human-in-the-Loop für kritische Entscheidungen.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Unternehmensautomatisierung: </w:t>
      </w:r>
      <w:r>
        <w:rPr>
          <w:rFonts w:ascii="Arial" w:cs="Arial" w:eastAsia="Arial" w:hAnsi="Arial"/>
          <w:sz w:val="23"/>
          <w:szCs w:val="23"/>
        </w:rPr>
        <w:t xml:space="preserve">E-Mail-, Kalender- und Datenagenten arbeiten parallel. Capability Tokens begrenzen den Zugriff jedes Agenten auf das Notwendige. Das Commit Layer verhindert unbeabsichtigte Seiteneffekte.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Forschung: </w:t>
      </w:r>
      <w:r>
        <w:rPr>
          <w:rFonts w:ascii="Arial" w:cs="Arial" w:eastAsia="Arial" w:hAnsi="Arial"/>
          <w:sz w:val="23"/>
          <w:szCs w:val="23"/>
        </w:rPr>
        <w:t xml:space="preserve">Komplexe, iterative Prompt-Ketten mit dem grafischen Orchestrator. Parallele Verarbeitung durch mehrere Modelle (lokal und extern). Wisdom Pool für kollektives Lernen zwischen Agenten.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Regulierte Umgebungen: </w:t>
      </w:r>
      <w:r>
        <w:rPr>
          <w:rFonts w:ascii="Arial" w:cs="Arial" w:eastAsia="Arial" w:hAnsi="Arial"/>
          <w:sz w:val="23"/>
          <w:szCs w:val="23"/>
        </w:rPr>
        <w:t xml:space="preserve">Isolated-Profil mit HSM-gespeicherten Schlüsseln, TPM-Attestierung, 7-Jahres-Audit-Logs. EU AI Act Compliance by Design.</w:t>
      </w:r>
    </w:p>
    <w:p>
      <w:pPr>
        <w:spacing w:after="200"/>
      </w:pPr>
    </w:p>
    <w:p>
      <w:pPr>
        <w:pStyle w:val="Heading1"/>
      </w:pPr>
      <w:r>
        <w:t xml:space="preserve">Nächste Schritte</w:t>
      </w: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MAOS ist eine vollständige Referenzarchitektur, spezifiziert in einer technischen Spezifikation mit über 4.500 Zeilen und acht Companion-Dokumenten. Die Architektur ist bereit für die Implementierung.</w:t>
      </w:r>
    </w:p>
    <w:p>
      <w:pPr>
        <w:pBdr>
          <w:left w:val="single" w:color="2E75B6" w:sz="6" w:space="2"/>
        </w:pBdr>
        <w:spacing w:after="120"/>
        <w:ind w:left="300"/>
      </w:pPr>
      <w:r>
        <w:rPr>
          <w:rFonts w:ascii="Arial" w:cs="Arial" w:eastAsia="Arial" w:hAnsi="Arial"/>
          <w:sz w:val="23"/>
          <w:szCs w:val="23"/>
        </w:rPr>
        <w:t xml:space="preserve">Die vollständige technische Spezifikation (v5.8), die Architecture Overview mit Diagrammen, und alle Companion-Dokumente sind als Open Source verfügbar.</w:t>
      </w:r>
    </w:p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sz w:val="23"/>
          <w:szCs w:val="23"/>
        </w:rPr>
        <w:t xml:space="preserve">Für Fragen, Kooperationsanfragen oder Beiträge: Udo Hellmann</w:t>
      </w:r>
    </w:p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MAOS — Multi-Agent Operating System. Das erste Betriebssystem für sichere KI-Agenten.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Udo Hellmann • </w:t>
    </w:r>
    <w:r>
      <w:rPr>
        <w:rFonts w:ascii="Arial" w:cs="Arial" w:eastAsia="Arial" w:hAnsi="Arial"/>
        <w:color w:val="999999"/>
        <w:sz w:val="17"/>
        <w:szCs w:val="17"/>
      </w:rPr>
      <w:t xml:space="preserve">Seite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MAOS —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ffe089e9d5a3f52cd54d93a9602a3025841f063.png"/><Relationship Id="rId9" Type="http://schemas.openxmlformats.org/officeDocument/2006/relationships/image" Target="media/8d81c3db0a928f54ac6884c2172594208e3fc453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2026-03-31T11:04:57.250Z</dcterms:created>
  <dcterms:modified xsi:type="dcterms:W3CDTF">2026-03-31T11:04:57.250Z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