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008" w:right="1152" w:bottom="1008" w:left="1152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CHUCK 操作要領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/>
    </w:pPr>
    <w:rPr>
      <w:rFonts w:ascii="IPAGothic" w:hAnsi="IPAGothic" w:eastAsia="IPAGothi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IPAGothic" w:hAnsi="IPAGothic" w:eastAsia="IPAGothic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IPAGothic" w:hAnsi="IPAGothic" w:eastAsia="IPAGothi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IPAGothic" w:hAnsi="IPAGothic" w:eastAsia="IPAGothic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IPAGothic" w:hAnsi="IPAGothic" w:eastAsia="IPAGothic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IPAGothic" w:hAnsi="IPAGothic" w:eastAsia="IPAGothi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IPAGothic" w:hAnsi="IPAGothic" w:eastAsia="IPAGothic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80"/>
    </w:pPr>
    <w:rPr>
      <w:rFonts w:ascii="IPAGothic" w:hAnsi="IPAGothic" w:eastAsia="IPAGothic"/>
      <w:b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CHUCK 操作要領</dc:title>
  <dc:subject>Web操作画面を用いたHF伝搬予測と位置ゲートウェイの操作手順</dc:subject>
  <dc:creator>CHUCK Project</dc:creator>
  <cp:keywords>CHUCK HF VOACAP 操作要領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