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0EF4D" w14:textId="76C7816C" w:rsidR="00434D61" w:rsidRDefault="00434D61" w:rsidP="00434D61">
      <w:pPr>
        <w:jc w:val="center"/>
      </w:pPr>
      <w:r w:rsidRPr="00434D61">
        <w:t>IoT システム設計 レポート</w:t>
      </w:r>
      <w:r>
        <w:rPr>
          <w:rFonts w:hint="eastAsia"/>
        </w:rPr>
        <w:t>10</w:t>
      </w:r>
    </w:p>
    <w:p w14:paraId="71D08A38" w14:textId="77777777" w:rsidR="00434D61" w:rsidRDefault="00434D61" w:rsidP="00434D61">
      <w:pPr>
        <w:jc w:val="center"/>
      </w:pPr>
      <w:r w:rsidRPr="00434D61">
        <w:t>1W243021 上治謙二郎</w:t>
      </w:r>
    </w:p>
    <w:p w14:paraId="27127A76" w14:textId="77777777" w:rsidR="00434D61" w:rsidRDefault="00434D61" w:rsidP="00434D61">
      <w:pPr>
        <w:jc w:val="center"/>
      </w:pPr>
      <w:r w:rsidRPr="00434D61">
        <w:t>出題日：2026/05/28</w:t>
      </w:r>
    </w:p>
    <w:p w14:paraId="035E0139" w14:textId="47551BA6" w:rsidR="00434D61" w:rsidRDefault="00434D61" w:rsidP="00434D61">
      <w:pPr>
        <w:jc w:val="center"/>
      </w:pPr>
      <w:r w:rsidRPr="00434D61">
        <w:t>提出日：2026/06/03</w:t>
      </w:r>
    </w:p>
    <w:p w14:paraId="4A48BDF9" w14:textId="1DB62307" w:rsidR="00A27535" w:rsidRDefault="00D15076" w:rsidP="00A27535">
      <w:pPr>
        <w:pStyle w:val="a9"/>
        <w:numPr>
          <w:ilvl w:val="0"/>
          <w:numId w:val="1"/>
        </w:numPr>
      </w:pPr>
      <w:r>
        <w:rPr>
          <w:rFonts w:hint="eastAsia"/>
        </w:rPr>
        <w:t>第一週目</w:t>
      </w:r>
      <w:r w:rsidR="00A27535">
        <w:rPr>
          <w:rFonts w:hint="eastAsia"/>
        </w:rPr>
        <w:t>進捗報告</w:t>
      </w:r>
    </w:p>
    <w:p w14:paraId="0BFAADE0" w14:textId="454F4D0A" w:rsidR="00A27535" w:rsidRDefault="00A27535" w:rsidP="00A27535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　実装部分</w:t>
      </w:r>
    </w:p>
    <w:p w14:paraId="4DD75B95" w14:textId="49151E4B" w:rsidR="004A4856" w:rsidRDefault="00A27535" w:rsidP="00CD28B3">
      <w:pPr>
        <w:pStyle w:val="a9"/>
        <w:ind w:left="360"/>
        <w:rPr>
          <w:rFonts w:hint="eastAsia"/>
        </w:rPr>
      </w:pPr>
      <w:r>
        <w:rPr>
          <w:rFonts w:hint="eastAsia"/>
        </w:rPr>
        <w:t>今週は、以下のクラス図の内、ゲーム状態を管理するエンティティ部および</w:t>
      </w:r>
      <w:r w:rsidR="002F4626">
        <w:rPr>
          <w:rFonts w:hint="eastAsia"/>
        </w:rPr>
        <w:t>ターミナルへのアウトプット部分を作成した</w:t>
      </w:r>
      <w:r w:rsidR="004A4856">
        <w:rPr>
          <w:rFonts w:hint="eastAsia"/>
        </w:rPr>
        <w:t>。</w:t>
      </w:r>
      <w:r w:rsidR="00122914">
        <w:rPr>
          <w:rFonts w:hint="eastAsia"/>
        </w:rPr>
        <w:t>主要な実装部分を以下に示す。</w:t>
      </w:r>
    </w:p>
    <w:p w14:paraId="3BABCB26" w14:textId="3C5F2998" w:rsidR="00CE0B92" w:rsidRPr="00781479" w:rsidRDefault="00CE0B92" w:rsidP="00CE0B92">
      <w:pPr>
        <w:pStyle w:val="a9"/>
        <w:ind w:left="360"/>
      </w:pPr>
      <w:r w:rsidRPr="00781479">
        <w:rPr>
          <w:rFonts w:hint="eastAsia"/>
        </w:rPr>
        <w:t>・各駒の移動の定義</w:t>
      </w:r>
    </w:p>
    <w:p w14:paraId="794889E5" w14:textId="2C89AF6E" w:rsidR="004E597A" w:rsidRDefault="00CE0B92" w:rsidP="001A0B09">
      <w:pPr>
        <w:pStyle w:val="a9"/>
        <w:ind w:left="360"/>
      </w:pPr>
      <w:r>
        <w:rPr>
          <w:rFonts w:hint="eastAsia"/>
        </w:rPr>
        <w:t>仕様書からの修正点として、駒が移動可能かの判定</w:t>
      </w:r>
      <w:r w:rsidR="00EF32E4">
        <w:rPr>
          <w:rFonts w:hint="eastAsia"/>
        </w:rPr>
        <w:t>（</w:t>
      </w:r>
      <w:r>
        <w:rPr>
          <w:rFonts w:hint="eastAsia"/>
        </w:rPr>
        <w:t>onMove関数</w:t>
      </w:r>
      <w:r w:rsidR="00EF32E4">
        <w:rPr>
          <w:rFonts w:hint="eastAsia"/>
        </w:rPr>
        <w:t>）した上で、</w:t>
      </w:r>
      <w:r>
        <w:rPr>
          <w:rFonts w:hint="eastAsia"/>
        </w:rPr>
        <w:t>障害物</w:t>
      </w:r>
      <w:r w:rsidR="00EF32E4">
        <w:rPr>
          <w:rFonts w:hint="eastAsia"/>
        </w:rPr>
        <w:t>を考慮して本当に動けるか</w:t>
      </w:r>
      <w:r>
        <w:rPr>
          <w:rFonts w:hint="eastAsia"/>
        </w:rPr>
        <w:t>判定する</w:t>
      </w:r>
      <w:r w:rsidR="00EF32E4">
        <w:rPr>
          <w:rFonts w:hint="eastAsia"/>
        </w:rPr>
        <w:t>（</w:t>
      </w:r>
      <w:r>
        <w:rPr>
          <w:rFonts w:hint="eastAsia"/>
        </w:rPr>
        <w:t>canMove関数</w:t>
      </w:r>
      <w:r w:rsidR="00EF32E4">
        <w:rPr>
          <w:rFonts w:hint="eastAsia"/>
        </w:rPr>
        <w:t>）2段階方式とした</w:t>
      </w:r>
      <w:r>
        <w:rPr>
          <w:rFonts w:hint="eastAsia"/>
        </w:rPr>
        <w:t>。</w:t>
      </w:r>
      <w:r w:rsidR="004E597A">
        <w:rPr>
          <w:rFonts w:hint="eastAsia"/>
        </w:rPr>
        <w:t>各駒のクラスで適切なonMove関数、canMove関数を定義した。</w:t>
      </w:r>
    </w:p>
    <w:p w14:paraId="400C14F6" w14:textId="77777777" w:rsidR="00CD28B3" w:rsidRDefault="00CD28B3" w:rsidP="001A0B09">
      <w:pPr>
        <w:pStyle w:val="a9"/>
        <w:ind w:left="360"/>
        <w:rPr>
          <w:rFonts w:hint="eastAsia"/>
        </w:rPr>
      </w:pPr>
    </w:p>
    <w:p w14:paraId="63518EC3" w14:textId="3BDD239D" w:rsidR="004A4856" w:rsidRPr="00781479" w:rsidRDefault="004A4856" w:rsidP="004A4856">
      <w:pPr>
        <w:pStyle w:val="a9"/>
        <w:ind w:left="360"/>
        <w:rPr>
          <w:rFonts w:hint="eastAsia"/>
        </w:rPr>
      </w:pPr>
      <w:r w:rsidRPr="00781479">
        <w:rPr>
          <w:rFonts w:hint="eastAsia"/>
        </w:rPr>
        <w:t>・移動元から移動先への移動が可能かどうか判定し、駒を動かす</w:t>
      </w:r>
      <w:r w:rsidR="001A0B09" w:rsidRPr="00781479">
        <w:rPr>
          <w:rFonts w:hint="eastAsia"/>
        </w:rPr>
        <w:t>(movePiece)</w:t>
      </w:r>
    </w:p>
    <w:p w14:paraId="3E664A5E" w14:textId="31054A8F" w:rsidR="001A0B09" w:rsidRDefault="004A4856" w:rsidP="001A0B09">
      <w:pPr>
        <w:pStyle w:val="a9"/>
        <w:ind w:left="360"/>
      </w:pPr>
      <w:r>
        <w:rPr>
          <w:rFonts w:hint="eastAsia"/>
        </w:rPr>
        <w:t>移動元の駒</w:t>
      </w:r>
      <w:r w:rsidR="00753391">
        <w:rPr>
          <w:rFonts w:hint="eastAsia"/>
        </w:rPr>
        <w:t>の色</w:t>
      </w:r>
      <w:r w:rsidR="00122914">
        <w:rPr>
          <w:rFonts w:hint="eastAsia"/>
        </w:rPr>
        <w:t>(color)</w:t>
      </w:r>
      <w:r>
        <w:rPr>
          <w:rFonts w:hint="eastAsia"/>
        </w:rPr>
        <w:t>が現在の</w:t>
      </w:r>
      <w:r w:rsidR="00753391">
        <w:rPr>
          <w:rFonts w:hint="eastAsia"/>
        </w:rPr>
        <w:t>手番と一致する、移動元の駒の種類に適合する方向への移動である</w:t>
      </w:r>
      <w:r w:rsidR="00A42934">
        <w:rPr>
          <w:rFonts w:hint="eastAsia"/>
        </w:rPr>
        <w:t>(onMove)</w:t>
      </w:r>
      <w:r w:rsidR="00753391">
        <w:rPr>
          <w:rFonts w:hint="eastAsia"/>
        </w:rPr>
        <w:t>、移動元と移動先の障害物によって移動不可能でない</w:t>
      </w:r>
      <w:r w:rsidR="00A42934">
        <w:rPr>
          <w:rFonts w:hint="eastAsia"/>
        </w:rPr>
        <w:t>(canMove)</w:t>
      </w:r>
      <w:r w:rsidR="00753391">
        <w:rPr>
          <w:rFonts w:hint="eastAsia"/>
        </w:rPr>
        <w:t>場合に、駒を動かしtrueを返す。それ以外</w:t>
      </w:r>
      <w:r w:rsidR="00CE0B92">
        <w:rPr>
          <w:rFonts w:hint="eastAsia"/>
        </w:rPr>
        <w:t>の場合は</w:t>
      </w:r>
      <w:r w:rsidR="00753391">
        <w:rPr>
          <w:rFonts w:hint="eastAsia"/>
        </w:rPr>
        <w:t>駒</w:t>
      </w:r>
      <w:r w:rsidR="00CE0B92">
        <w:rPr>
          <w:rFonts w:hint="eastAsia"/>
        </w:rPr>
        <w:t>を</w:t>
      </w:r>
      <w:r w:rsidR="00753391">
        <w:rPr>
          <w:rFonts w:hint="eastAsia"/>
        </w:rPr>
        <w:t>動かさずfalseを返す。</w:t>
      </w:r>
    </w:p>
    <w:p w14:paraId="7BBF26BE" w14:textId="77777777" w:rsidR="00CD28B3" w:rsidRDefault="00CD28B3" w:rsidP="001A0B09">
      <w:pPr>
        <w:pStyle w:val="a9"/>
        <w:ind w:left="360"/>
        <w:rPr>
          <w:rFonts w:hint="eastAsia"/>
        </w:rPr>
      </w:pPr>
    </w:p>
    <w:p w14:paraId="2B36F64B" w14:textId="1D9D06AD" w:rsidR="001A0B09" w:rsidRPr="00781479" w:rsidRDefault="001A0B09" w:rsidP="00753391">
      <w:pPr>
        <w:pStyle w:val="a9"/>
        <w:ind w:left="360"/>
      </w:pPr>
      <w:r w:rsidRPr="00781479">
        <w:rPr>
          <w:rFonts w:hint="eastAsia"/>
        </w:rPr>
        <w:t>・盤面の出力</w:t>
      </w:r>
    </w:p>
    <w:p w14:paraId="5C5F6EE6" w14:textId="3BF0DE1E" w:rsidR="001A0B09" w:rsidRDefault="001A0B09" w:rsidP="00753391">
      <w:pPr>
        <w:pStyle w:val="a9"/>
        <w:ind w:left="360"/>
        <w:rPr>
          <w:rFonts w:hint="eastAsia"/>
        </w:rPr>
      </w:pPr>
      <w:r>
        <w:rPr>
          <w:rFonts w:hint="eastAsia"/>
        </w:rPr>
        <w:t>チェスの盤面出力及び、勝敗出力関数をConsoleOutputクラスで定義した。</w:t>
      </w:r>
    </w:p>
    <w:p w14:paraId="71708D20" w14:textId="273AB4FF" w:rsidR="00A27535" w:rsidRDefault="00A27535" w:rsidP="00AF3E96">
      <w:pPr>
        <w:pStyle w:val="a9"/>
        <w:ind w:left="360"/>
        <w:rPr>
          <w:rFonts w:hint="eastAsia"/>
        </w:rPr>
      </w:pPr>
    </w:p>
    <w:p w14:paraId="0A9CB612" w14:textId="18FD1C15" w:rsidR="00A27535" w:rsidRDefault="00A27535" w:rsidP="00A27535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　テストプログラムによる実行結果</w:t>
      </w:r>
    </w:p>
    <w:p w14:paraId="179F4496" w14:textId="529B9358" w:rsidR="00434D61" w:rsidRDefault="004A4856" w:rsidP="003B48DB">
      <w:pPr>
        <w:pStyle w:val="a9"/>
        <w:ind w:left="360"/>
      </w:pPr>
      <w:r>
        <w:rPr>
          <w:rFonts w:hint="eastAsia"/>
        </w:rPr>
        <w:t>簡易的に</w:t>
      </w:r>
      <w:r w:rsidR="00AF3E96">
        <w:rPr>
          <w:rFonts w:hint="eastAsia"/>
        </w:rPr>
        <w:t>文字列で移動元と移動先の</w:t>
      </w:r>
      <w:r>
        <w:rPr>
          <w:rFonts w:hint="eastAsia"/>
        </w:rPr>
        <w:t>操作命令を受け取り、作成したコンポーネントにつなぐことで、ルール通りならば駒を動かして盤面を表示するプログラムを作成して、動作確認を行った。</w:t>
      </w:r>
    </w:p>
    <w:p w14:paraId="6E8AAF09" w14:textId="5DA634D3" w:rsidR="00AF3E96" w:rsidRDefault="003B48DB" w:rsidP="00CD28B3">
      <w:pPr>
        <w:pStyle w:val="a9"/>
        <w:ind w:left="360"/>
        <w:rPr>
          <w:rFonts w:hint="eastAsia"/>
        </w:rPr>
      </w:pPr>
      <w:r>
        <w:rPr>
          <w:rFonts w:hint="eastAsia"/>
        </w:rPr>
        <w:t>ポーンの昇格、アンパサン、キャスリング</w:t>
      </w:r>
      <w:r w:rsidR="008D5185">
        <w:rPr>
          <w:rFonts w:hint="eastAsia"/>
        </w:rPr>
        <w:t>を除く、駒の</w:t>
      </w:r>
      <w:r w:rsidR="00610492">
        <w:rPr>
          <w:rFonts w:hint="eastAsia"/>
        </w:rPr>
        <w:t>動作確認が取れた。</w:t>
      </w:r>
    </w:p>
    <w:p w14:paraId="550D050A" w14:textId="0D07EF31" w:rsidR="00EF32E4" w:rsidRPr="004A4856" w:rsidRDefault="00610492" w:rsidP="00122914">
      <w:pPr>
        <w:ind w:firstLineChars="500" w:firstLine="1050"/>
        <w:rPr>
          <w:rFonts w:hint="eastAsia"/>
        </w:rPr>
      </w:pPr>
      <w:r w:rsidRPr="00610492">
        <w:rPr>
          <w:noProof/>
        </w:rPr>
        <w:drawing>
          <wp:inline distT="0" distB="0" distL="0" distR="0" wp14:anchorId="54AD496F" wp14:editId="321B1FFE">
            <wp:extent cx="1548765" cy="1975238"/>
            <wp:effectExtent l="0" t="0" r="0" b="6350"/>
            <wp:docPr id="121170992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09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8542" cy="198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0492">
        <w:rPr>
          <w:noProof/>
        </w:rPr>
        <w:t xml:space="preserve"> </w:t>
      </w:r>
      <w:r w:rsidRPr="00610492">
        <w:rPr>
          <w:noProof/>
        </w:rPr>
        <w:drawing>
          <wp:inline distT="0" distB="0" distL="0" distR="0" wp14:anchorId="0A05CAD5" wp14:editId="41A59066">
            <wp:extent cx="1524000" cy="1988820"/>
            <wp:effectExtent l="0" t="0" r="0" b="0"/>
            <wp:docPr id="72230711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07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0344" cy="199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8B3" w:rsidRPr="00CD28B3">
        <w:rPr>
          <w:noProof/>
        </w:rPr>
        <w:t xml:space="preserve"> </w:t>
      </w:r>
      <w:r w:rsidRPr="00610492">
        <w:rPr>
          <w:noProof/>
        </w:rPr>
        <w:drawing>
          <wp:inline distT="0" distB="0" distL="0" distR="0" wp14:anchorId="046FF549" wp14:editId="3DBA4422">
            <wp:extent cx="1521460" cy="1957761"/>
            <wp:effectExtent l="0" t="0" r="2540" b="4445"/>
            <wp:docPr id="156925375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53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9965" cy="196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2E4" w:rsidRPr="004A485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45C95"/>
    <w:multiLevelType w:val="multilevel"/>
    <w:tmpl w:val="84DECB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1448503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FC5"/>
    <w:rsid w:val="00122914"/>
    <w:rsid w:val="001A0B09"/>
    <w:rsid w:val="002F4626"/>
    <w:rsid w:val="003B48DB"/>
    <w:rsid w:val="00434D61"/>
    <w:rsid w:val="004A4856"/>
    <w:rsid w:val="004E597A"/>
    <w:rsid w:val="00610492"/>
    <w:rsid w:val="00694EB1"/>
    <w:rsid w:val="00753391"/>
    <w:rsid w:val="00777719"/>
    <w:rsid w:val="00781479"/>
    <w:rsid w:val="008D5185"/>
    <w:rsid w:val="008E5F51"/>
    <w:rsid w:val="0095115B"/>
    <w:rsid w:val="00A27535"/>
    <w:rsid w:val="00A42934"/>
    <w:rsid w:val="00AF3E96"/>
    <w:rsid w:val="00B40FC5"/>
    <w:rsid w:val="00C54EFB"/>
    <w:rsid w:val="00CD28B3"/>
    <w:rsid w:val="00CE0B92"/>
    <w:rsid w:val="00D15076"/>
    <w:rsid w:val="00EF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C573A80"/>
  <w15:chartTrackingRefBased/>
  <w15:docId w15:val="{74BCCB96-07A1-4158-BCAC-BAA592C8F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0F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0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0F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0F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0F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0F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0F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0F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0F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40F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40F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40F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40F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40F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40F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40F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40F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40F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40F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40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0F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40F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0F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40F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0FC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40FC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40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40FC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40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S242613065</dc:creator>
  <cp:keywords/>
  <dc:description/>
  <cp:lastModifiedBy>S242613065</cp:lastModifiedBy>
  <cp:revision>20</cp:revision>
  <dcterms:created xsi:type="dcterms:W3CDTF">2026-06-24T10:33:00Z</dcterms:created>
  <dcterms:modified xsi:type="dcterms:W3CDTF">2026-06-24T13:27:00Z</dcterms:modified>
</cp:coreProperties>
</file>