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19D9" w:rsidRDefault="001A2180">
      <w:pPr>
        <w:spacing w:after="360"/>
        <w:jc w:val="center"/>
      </w:pPr>
      <w:r>
        <w:rPr>
          <w:b/>
          <w:sz w:val="32"/>
        </w:rPr>
        <w:t xml:space="preserve">Cervix Visual AI: Desenvolvimento de um </w:t>
      </w:r>
      <w:r w:rsidRPr="00517C6D">
        <w:rPr>
          <w:b/>
          <w:i/>
          <w:sz w:val="32"/>
        </w:rPr>
        <w:t>Pipeline</w:t>
      </w:r>
      <w:r>
        <w:rPr>
          <w:b/>
          <w:sz w:val="32"/>
        </w:rPr>
        <w:t xml:space="preserve"> de </w:t>
      </w:r>
      <w:r w:rsidR="00517C6D" w:rsidRPr="00517C6D">
        <w:rPr>
          <w:b/>
          <w:i/>
          <w:sz w:val="32"/>
        </w:rPr>
        <w:t>Deep Learning</w:t>
      </w:r>
      <w:r>
        <w:rPr>
          <w:b/>
          <w:sz w:val="32"/>
        </w:rPr>
        <w:t xml:space="preserve"> para Classificação de Lesões Cervicais em Imagens de Inspeção Visual com Ácido Acético</w:t>
      </w:r>
    </w:p>
    <w:p w:rsidR="00773CF7" w:rsidRDefault="00773CF7" w:rsidP="00773CF7">
      <w:pPr>
        <w:spacing w:after="240"/>
        <w:jc w:val="center"/>
      </w:pPr>
      <w:r>
        <w:t>Ueldo Miguel Plentz Rodrigues</w:t>
      </w:r>
      <w:r w:rsidR="001A2180">
        <w:t>¹</w:t>
      </w:r>
    </w:p>
    <w:p w:rsidR="00773CF7" w:rsidRDefault="00773CF7" w:rsidP="00966543">
      <w:pPr>
        <w:spacing w:after="0"/>
        <w:jc w:val="center"/>
      </w:pPr>
      <w:r w:rsidRPr="00773CF7">
        <w:rPr>
          <w:vertAlign w:val="superscript"/>
        </w:rPr>
        <w:t>1</w:t>
      </w:r>
      <w:r>
        <w:t>Universidade do Vale do Rio dos Sinos (UNISINOS)</w:t>
      </w:r>
    </w:p>
    <w:p w:rsidR="00E719D9" w:rsidRDefault="00773CF7" w:rsidP="00773CF7">
      <w:pPr>
        <w:spacing w:after="40"/>
        <w:jc w:val="center"/>
      </w:pPr>
      <w:r>
        <w:t>São Leopoldo – RS – Brasi</w:t>
      </w:r>
      <w:r w:rsidR="00966543">
        <w:t>l</w:t>
      </w:r>
    </w:p>
    <w:p w:rsidR="00E719D9" w:rsidRDefault="00966543">
      <w:pPr>
        <w:spacing w:after="320"/>
        <w:jc w:val="center"/>
      </w:pPr>
      <w:hyperlink r:id="rId6" w:history="1">
        <w:r w:rsidRPr="006D3168">
          <w:rPr>
            <w:rStyle w:val="Hyperlink"/>
          </w:rPr>
          <w:t>miguelplentz@edu.unisinos.br</w:t>
        </w:r>
      </w:hyperlink>
    </w:p>
    <w:p w:rsidR="00966543" w:rsidRDefault="00966543">
      <w:pPr>
        <w:spacing w:after="320"/>
        <w:jc w:val="center"/>
      </w:pPr>
    </w:p>
    <w:p w:rsidR="00E719D9" w:rsidRDefault="001A2180" w:rsidP="00517C6D">
      <w:pPr>
        <w:spacing w:after="80"/>
      </w:pPr>
      <w:r>
        <w:rPr>
          <w:b/>
        </w:rPr>
        <w:t>Resu</w:t>
      </w:r>
      <w:r>
        <w:rPr>
          <w:b/>
        </w:rPr>
        <w:t>mo</w:t>
      </w:r>
    </w:p>
    <w:p w:rsidR="00E719D9" w:rsidRDefault="001A2180" w:rsidP="00517C6D">
      <w:pPr>
        <w:spacing w:after="240"/>
        <w:ind w:right="454"/>
        <w:jc w:val="both"/>
        <w:rPr>
          <w:i/>
        </w:rPr>
      </w:pPr>
      <w:r>
        <w:rPr>
          <w:i/>
        </w:rPr>
        <w:t xml:space="preserve">Este relatório técnico descreve o desenvolvimento do Cervix Visual AI, um pipeline de aprendizado profundo em arquivo único (Python) para classificação binária de imagens cervicais pós-ácido acético do IARC Cervical Image Bank em negative_or_low_grade </w:t>
      </w:r>
      <w:r>
        <w:rPr>
          <w:i/>
        </w:rPr>
        <w:t>e high_grade_or_cancer. Relata-se o processo completo — proposta, desenvolvimento e avaliação — abrangendo preparação automatizada dos dados, divisão estratificada por paciente, aumento agressivo de dados, uma rede EfficientNet-B3 ajustada em duas fases, p</w:t>
      </w:r>
      <w:r>
        <w:rPr>
          <w:i/>
        </w:rPr>
        <w:t>erda Focal ponderada por classe, regularização por MixUp, escalonamento de taxa por cosseno, aumento em tempo de teste de quatro vistas, calibração por temperatura, seleção de limiar com restrição de sensibilidade, agregação por caso, intervalos de confian</w:t>
      </w:r>
      <w:r>
        <w:rPr>
          <w:i/>
        </w:rPr>
        <w:t>ça via bootstrap e explicabilidade por Grad-CAM. A arquitetura de software e seu projeto orientado a objetos são documentados com diagramas UML. Os resultados são apresentados como artefato de pesquisa exploratória, sem validade clínica estabelecida.</w:t>
      </w:r>
    </w:p>
    <w:p w:rsidR="00517C6D" w:rsidRDefault="00517C6D" w:rsidP="00517C6D">
      <w:pPr>
        <w:spacing w:after="80"/>
      </w:pPr>
      <w:r>
        <w:rPr>
          <w:b/>
        </w:rPr>
        <w:t>Abstract.</w:t>
      </w:r>
    </w:p>
    <w:p w:rsidR="00517C6D" w:rsidRDefault="00517C6D" w:rsidP="00517C6D">
      <w:pPr>
        <w:spacing w:after="240"/>
        <w:ind w:right="454"/>
        <w:jc w:val="both"/>
      </w:pPr>
      <w:r>
        <w:rPr>
          <w:i/>
        </w:rPr>
        <w:t>This technical report describes the development of Cervix Visual AI, a single-file Python deep-learning pipeline for binary classification of post-acetic-acid cervical images from the IARC Cervical Image Bank into negative_or_low_grade and high_grade_or_cancer. We report the full development process — proposal, implementation and evaluation — covering automated data preparation, patient-level stratified splitting, aggressive data augmentation, an EfficientNet-B3 backbone fine-tuned in two stages, a class-weighted Focal loss, MixUp regularization, cosine-annealing scheduling, four-view test-time augmentation, temperature-scaling calibration, sensitivity-constrained threshold selection, case-level aggregation, bootstrap confidence intervals and Grad-CAM explainability. The software architecture and its object-oriented design are documented with UML diagrams. Results are framed as an exploratory research artifact without established clinical validity.</w:t>
      </w:r>
    </w:p>
    <w:p w:rsidR="00517C6D" w:rsidRDefault="00517C6D" w:rsidP="00517C6D">
      <w:pPr>
        <w:spacing w:after="240"/>
        <w:ind w:right="454"/>
        <w:jc w:val="both"/>
      </w:pPr>
    </w:p>
    <w:p w:rsidR="00E719D9" w:rsidRDefault="001A2180">
      <w:pPr>
        <w:pStyle w:val="Ttulo1"/>
      </w:pPr>
      <w:r>
        <w:lastRenderedPageBreak/>
        <w:t>1. In</w:t>
      </w:r>
      <w:r>
        <w:t>trodução</w:t>
      </w:r>
    </w:p>
    <w:p w:rsidR="00E719D9" w:rsidRDefault="001A2180">
      <w:pPr>
        <w:jc w:val="both"/>
      </w:pPr>
      <w:r>
        <w:t>O câncer do colo do útero é o quarto tipo de câncer mais comum entre mulheres em todo o mundo, com aproximadamente 570 mil novos casos e cerca de 342 mil óbitos estimados em 2020, concentrando-se de forma desproporcional em países de baixa e média</w:t>
      </w:r>
      <w:r>
        <w:t xml:space="preserve"> renda [12]. Em contextos de recursos limitados, a inspeção visual com ácido acético (IVA) continua sendo amplamente utilizada como estratégia de rastreamento de baixo custo, apesar de sua reconhecida dependência do examinador e de sua variabilidade intero</w:t>
      </w:r>
      <w:r>
        <w:t>bservador [1].</w:t>
      </w:r>
    </w:p>
    <w:p w:rsidR="00E719D9" w:rsidRDefault="001A2180">
      <w:pPr>
        <w:jc w:val="both"/>
      </w:pPr>
      <w:r>
        <w:t>Técnicas de visão computacional e aprendizado profundo têm sido propostas como apoio à decisão para padronizar a interpretação de exames de IVA. Um estudo de referência do National Cancer Institute demonstrou que a avaliação visual automatiz</w:t>
      </w:r>
      <w:r>
        <w:t>ada baseada em aprendizado profundo identificou casos de pré-câncer/câncer com AUC de 0,91, superando a interpretação humana (AUC 0,69) e a citologia convencional (AUC 0,71) [3]. A International Agency for Research on Cancer (IARC) constituiu o IARC Cervic</w:t>
      </w:r>
      <w:r>
        <w:t>al Image Bank para suprir a carência de bancos de imagens padronizados para o desenvolvimento de tais algoritmos [2].</w:t>
      </w:r>
    </w:p>
    <w:p w:rsidR="00E719D9" w:rsidRDefault="001A2180">
      <w:pPr>
        <w:jc w:val="both"/>
      </w:pPr>
      <w:r>
        <w:t>Este relatório técnico descreve o desenvolvimento do Cervix Visual AI, um pipeline de visão computacional implementado em um único arquivo</w:t>
      </w:r>
      <w:r>
        <w:t xml:space="preserve"> Python para a classificação binária de imagens “After acetic acid” em negative_or_low_grade e high_grade_or_cancer. O texto está organizado de modo a percorrer as três etapas do trabalho: a proposta (Seção 3), com objetivos, requisitos e metodologia de de</w:t>
      </w:r>
      <w:r>
        <w:t>senvolvimento; o desenvolvimento (Seção 4), com a arquitetura de software e a descrição técnica de cada componente; e a avaliação (Seção 5), com o protocolo de métricas, os artefatos produzidos e a evolução do pipeline. A Seção 2 apresenta trabalhos relaci</w:t>
      </w:r>
      <w:r>
        <w:t>onados, a Seção 6 discute ética, limitações e trabalhos futuros, e a Seção 7 conclui. Cabe ressaltar que, conforme declarado na própria documentação do código, trata-se de um artefato experimental cujos resultados não devem ser utilizados para decisão clín</w:t>
      </w:r>
      <w:r>
        <w:t>ica.</w:t>
      </w:r>
    </w:p>
    <w:p w:rsidR="00E719D9" w:rsidRDefault="001A2180">
      <w:pPr>
        <w:pStyle w:val="Ttulo1"/>
      </w:pPr>
      <w:r>
        <w:t>2. Trabalhos Relacionados</w:t>
      </w:r>
    </w:p>
    <w:p w:rsidR="00E719D9" w:rsidRDefault="001A2180">
      <w:pPr>
        <w:jc w:val="both"/>
      </w:pPr>
      <w:r>
        <w:t>O estudo de Hu et al. [3] estabeleceu empiricamente que modelos de aprendizado profundo podem superar a avaliação visual humana não assistida na triagem cervical, reportando AUC de 0,91 (IC 95% 0,89–0,93). Especificamente sob</w:t>
      </w:r>
      <w:r>
        <w:t>re o IARC Cervical Image Bank, um trabalho recente combinou características de variantes ResNet, reduzidas por LDA e classificadas por SVM, reportando especificidade, sensibilidade e acurácia de 97% a 99% na tarefa normal/anormal [5]. Em abordagem multimod</w:t>
      </w:r>
      <w:r>
        <w:t>al, o sistema DeepCerviCancer combina modelos de colposcopia e citologia, atingindo valores elevados de F1 e precisão quando ambas as modalidades estão disponíveis [4]. Para cenários de baixos recursos, um pipeline leve com EfficientDet-Lite e MobileNet, e</w:t>
      </w:r>
      <w:r>
        <w:t>xecutado em dispositivo Android, reportou acurácia de 92,31%, sensibilidade de 98,24% e especificidade de 88,37% [6].</w:t>
      </w:r>
    </w:p>
    <w:p w:rsidR="00E719D9" w:rsidRDefault="001A2180">
      <w:pPr>
        <w:jc w:val="both"/>
      </w:pPr>
      <w:r>
        <w:t>O Cervix Visual AI diferencia-se pela combinação de rigor metodológico no tratamento dos dados (divisão por paciente com verificação de va</w:t>
      </w:r>
      <w:r>
        <w:t>zamento e agregação por caso) com um conjunto moderno de técnicas de regularização, calibração e interpretabilidade — perda Focal, MixUp, escalonamento por cosseno, TTA de quatro vistas, calibração por temperatura, limiar com restrição de sensibilidade, in</w:t>
      </w:r>
      <w:r>
        <w:t xml:space="preserve">tervalos de confiança via </w:t>
      </w:r>
      <w:r>
        <w:lastRenderedPageBreak/>
        <w:t>bootstrap e mapas Grad-CAM — frequentemente subespecificados em pipelines comparáveis.</w:t>
      </w:r>
    </w:p>
    <w:p w:rsidR="00E719D9" w:rsidRDefault="001A2180">
      <w:pPr>
        <w:pStyle w:val="Ttulo1"/>
      </w:pPr>
      <w:r>
        <w:t>3. Proposta</w:t>
      </w:r>
    </w:p>
    <w:p w:rsidR="00E719D9" w:rsidRDefault="001A2180">
      <w:pPr>
        <w:pStyle w:val="Ttulo2"/>
      </w:pPr>
      <w:r>
        <w:t>3.1 Objetivos</w:t>
      </w:r>
    </w:p>
    <w:p w:rsidR="00E719D9" w:rsidRDefault="001A2180">
      <w:pPr>
        <w:jc w:val="both"/>
      </w:pPr>
      <w:r>
        <w:t>O objetivo geral do trabalho foi desenvolver um pipeline reprodutível, de ponta a ponta, para a classificação binária</w:t>
      </w:r>
      <w:r>
        <w:t xml:space="preserve"> de imagens de IVA do IARC Cervical Image Bank, com ênfase em robustez estatística e interpretabilidade. Como objetivos específicos, definiram-se: (i) automatizar a preparação dos dados a partir do arquivo distribuído pela IARC; (ii) evitar vazamento de da</w:t>
      </w:r>
      <w:r>
        <w:t>dos por meio de divisão e avaliação no nível do paciente; (iii) treinar uma rede convolucional moderna por transferência de aprendizado; (iv) calibrar tanto as probabilidades quanto o limiar de decisão segundo prioridades clínicas; (v) quantificar a incert</w:t>
      </w:r>
      <w:r>
        <w:t>eza das métricas; e (vi) gerar explicações visuais das predições.</w:t>
      </w:r>
    </w:p>
    <w:p w:rsidR="00E719D9" w:rsidRDefault="001A2180">
      <w:pPr>
        <w:pStyle w:val="Ttulo2"/>
      </w:pPr>
      <w:r>
        <w:t>3.2 Requisitos e decisões de projeto</w:t>
      </w:r>
    </w:p>
    <w:p w:rsidR="00E719D9" w:rsidRDefault="001A2180">
      <w:pPr>
        <w:jc w:val="both"/>
      </w:pPr>
      <w:r>
        <w:t>A partir dos objetivos, estabeleceram-se requisitos que orientaram as decisões de projeto, resumidos na Tabela 1.</w:t>
      </w:r>
    </w:p>
    <w:p w:rsidR="00E719D9" w:rsidRDefault="001A2180">
      <w:pPr>
        <w:spacing w:before="160" w:after="60"/>
        <w:jc w:val="center"/>
      </w:pPr>
      <w:r>
        <w:rPr>
          <w:b/>
          <w:sz w:val="20"/>
        </w:rPr>
        <w:t xml:space="preserve">Tabela 1. Requisitos do projeto e </w:t>
      </w:r>
      <w:r>
        <w:rPr>
          <w:b/>
          <w:sz w:val="20"/>
        </w:rPr>
        <w:t>respectivas decisões de projeto.</w:t>
      </w:r>
    </w:p>
    <w:tbl>
      <w:tblPr>
        <w:tblStyle w:val="Tabelacomgrade"/>
        <w:tblW w:w="0" w:type="auto"/>
        <w:jc w:val="center"/>
        <w:tblLook w:val="04A0"/>
      </w:tblPr>
      <w:tblGrid>
        <w:gridCol w:w="3118"/>
        <w:gridCol w:w="5386"/>
      </w:tblGrid>
      <w:tr w:rsidR="00E719D9">
        <w:trPr>
          <w:jc w:val="center"/>
        </w:trPr>
        <w:tc>
          <w:tcPr>
            <w:tcW w:w="3118" w:type="dxa"/>
            <w:shd w:val="clear" w:color="auto" w:fill="D9D9D9"/>
          </w:tcPr>
          <w:p w:rsidR="00E719D9" w:rsidRDefault="001A2180">
            <w:pPr>
              <w:spacing w:before="20" w:after="20"/>
            </w:pPr>
            <w:r>
              <w:rPr>
                <w:b/>
                <w:sz w:val="20"/>
              </w:rPr>
              <w:t>Requisito</w:t>
            </w:r>
          </w:p>
        </w:tc>
        <w:tc>
          <w:tcPr>
            <w:tcW w:w="5386" w:type="dxa"/>
            <w:shd w:val="clear" w:color="auto" w:fill="D9D9D9"/>
          </w:tcPr>
          <w:p w:rsidR="00E719D9" w:rsidRDefault="001A2180">
            <w:pPr>
              <w:spacing w:before="20" w:after="20"/>
            </w:pPr>
            <w:r>
              <w:rPr>
                <w:b/>
                <w:sz w:val="20"/>
              </w:rPr>
              <w:t>Decisão de projeto</w:t>
            </w:r>
          </w:p>
        </w:tc>
      </w:tr>
      <w:tr w:rsidR="00E719D9">
        <w:trPr>
          <w:jc w:val="center"/>
        </w:trPr>
        <w:tc>
          <w:tcPr>
            <w:tcW w:w="3118" w:type="dxa"/>
          </w:tcPr>
          <w:p w:rsidR="00E719D9" w:rsidRDefault="001A2180">
            <w:pPr>
              <w:spacing w:before="20" w:after="20"/>
            </w:pPr>
            <w:r>
              <w:rPr>
                <w:sz w:val="20"/>
              </w:rPr>
              <w:t>Reprodutibilidade e simplicidade de distribuição</w:t>
            </w:r>
          </w:p>
        </w:tc>
        <w:tc>
          <w:tcPr>
            <w:tcW w:w="5386" w:type="dxa"/>
          </w:tcPr>
          <w:p w:rsidR="00E719D9" w:rsidRDefault="001A2180">
            <w:pPr>
              <w:spacing w:before="20" w:after="20"/>
            </w:pPr>
            <w:r>
              <w:rPr>
                <w:sz w:val="20"/>
              </w:rPr>
              <w:t>Implementação em arquivo único Python, com semente fixa e CLI por subcomandos.</w:t>
            </w:r>
          </w:p>
        </w:tc>
      </w:tr>
      <w:tr w:rsidR="00E719D9">
        <w:trPr>
          <w:jc w:val="center"/>
        </w:trPr>
        <w:tc>
          <w:tcPr>
            <w:tcW w:w="3118" w:type="dxa"/>
            <w:shd w:val="clear" w:color="auto" w:fill="F2F2F2"/>
          </w:tcPr>
          <w:p w:rsidR="00E719D9" w:rsidRDefault="001A2180">
            <w:pPr>
              <w:spacing w:before="20" w:after="20"/>
            </w:pPr>
            <w:r>
              <w:rPr>
                <w:sz w:val="20"/>
              </w:rPr>
              <w:t>Ausência de vazamento de dados</w:t>
            </w:r>
          </w:p>
        </w:tc>
        <w:tc>
          <w:tcPr>
            <w:tcW w:w="5386" w:type="dxa"/>
            <w:shd w:val="clear" w:color="auto" w:fill="F2F2F2"/>
          </w:tcPr>
          <w:p w:rsidR="00E719D9" w:rsidRDefault="001A2180">
            <w:pPr>
              <w:spacing w:before="20" w:after="20"/>
            </w:pPr>
            <w:r>
              <w:rPr>
                <w:sz w:val="20"/>
              </w:rPr>
              <w:t>Divisão estratificada por patient</w:t>
            </w:r>
            <w:r>
              <w:rPr>
                <w:sz w:val="20"/>
              </w:rPr>
              <w:t>_id e agregação de predições por caso.</w:t>
            </w:r>
          </w:p>
        </w:tc>
      </w:tr>
      <w:tr w:rsidR="00E719D9">
        <w:trPr>
          <w:jc w:val="center"/>
        </w:trPr>
        <w:tc>
          <w:tcPr>
            <w:tcW w:w="3118" w:type="dxa"/>
          </w:tcPr>
          <w:p w:rsidR="00E719D9" w:rsidRDefault="001A2180">
            <w:pPr>
              <w:spacing w:before="20" w:after="20"/>
            </w:pPr>
            <w:r>
              <w:rPr>
                <w:sz w:val="20"/>
              </w:rPr>
              <w:t>Desempenho com poucos dados</w:t>
            </w:r>
          </w:p>
        </w:tc>
        <w:tc>
          <w:tcPr>
            <w:tcW w:w="5386" w:type="dxa"/>
          </w:tcPr>
          <w:p w:rsidR="00E719D9" w:rsidRDefault="001A2180">
            <w:pPr>
              <w:spacing w:before="20" w:after="20"/>
            </w:pPr>
            <w:r>
              <w:rPr>
                <w:sz w:val="20"/>
              </w:rPr>
              <w:t>Transferência de aprendizado, aumento agressivo de dados, MixUp e SWA-like scheduling.</w:t>
            </w:r>
          </w:p>
        </w:tc>
      </w:tr>
      <w:tr w:rsidR="00E719D9">
        <w:trPr>
          <w:jc w:val="center"/>
        </w:trPr>
        <w:tc>
          <w:tcPr>
            <w:tcW w:w="3118" w:type="dxa"/>
            <w:shd w:val="clear" w:color="auto" w:fill="F2F2F2"/>
          </w:tcPr>
          <w:p w:rsidR="00E719D9" w:rsidRDefault="001A2180">
            <w:pPr>
              <w:spacing w:before="20" w:after="20"/>
            </w:pPr>
            <w:r>
              <w:rPr>
                <w:sz w:val="20"/>
              </w:rPr>
              <w:t>Sensibilidade clínica (evitar falsos negativos)</w:t>
            </w:r>
          </w:p>
        </w:tc>
        <w:tc>
          <w:tcPr>
            <w:tcW w:w="5386" w:type="dxa"/>
            <w:shd w:val="clear" w:color="auto" w:fill="F2F2F2"/>
          </w:tcPr>
          <w:p w:rsidR="00E719D9" w:rsidRDefault="001A2180">
            <w:pPr>
              <w:spacing w:before="20" w:after="20"/>
            </w:pPr>
            <w:r>
              <w:rPr>
                <w:sz w:val="20"/>
              </w:rPr>
              <w:t xml:space="preserve">Perda Focal com pos_weight e limiar que maximiza F1 </w:t>
            </w:r>
            <w:r>
              <w:rPr>
                <w:sz w:val="20"/>
              </w:rPr>
              <w:t>sob Sens ≥ 0,80.</w:t>
            </w:r>
          </w:p>
        </w:tc>
      </w:tr>
      <w:tr w:rsidR="00E719D9">
        <w:trPr>
          <w:jc w:val="center"/>
        </w:trPr>
        <w:tc>
          <w:tcPr>
            <w:tcW w:w="3118" w:type="dxa"/>
          </w:tcPr>
          <w:p w:rsidR="00E719D9" w:rsidRDefault="001A2180">
            <w:pPr>
              <w:spacing w:before="20" w:after="20"/>
            </w:pPr>
            <w:r>
              <w:rPr>
                <w:sz w:val="20"/>
              </w:rPr>
              <w:t>Confiabilidade das probabilidades</w:t>
            </w:r>
          </w:p>
        </w:tc>
        <w:tc>
          <w:tcPr>
            <w:tcW w:w="5386" w:type="dxa"/>
          </w:tcPr>
          <w:p w:rsidR="00E719D9" w:rsidRDefault="001A2180">
            <w:pPr>
              <w:spacing w:before="20" w:after="20"/>
            </w:pPr>
            <w:r>
              <w:rPr>
                <w:sz w:val="20"/>
              </w:rPr>
              <w:t>Calibração por escalonamento de temperatura (temperature scaling).</w:t>
            </w:r>
          </w:p>
        </w:tc>
      </w:tr>
      <w:tr w:rsidR="00E719D9">
        <w:trPr>
          <w:jc w:val="center"/>
        </w:trPr>
        <w:tc>
          <w:tcPr>
            <w:tcW w:w="3118" w:type="dxa"/>
            <w:shd w:val="clear" w:color="auto" w:fill="F2F2F2"/>
          </w:tcPr>
          <w:p w:rsidR="00E719D9" w:rsidRDefault="001A2180">
            <w:pPr>
              <w:spacing w:before="20" w:after="20"/>
            </w:pPr>
            <w:r>
              <w:rPr>
                <w:sz w:val="20"/>
              </w:rPr>
              <w:t>Quantificação de incerteza</w:t>
            </w:r>
          </w:p>
        </w:tc>
        <w:tc>
          <w:tcPr>
            <w:tcW w:w="5386" w:type="dxa"/>
            <w:shd w:val="clear" w:color="auto" w:fill="F2F2F2"/>
          </w:tcPr>
          <w:p w:rsidR="00E719D9" w:rsidRDefault="001A2180">
            <w:pPr>
              <w:spacing w:before="20" w:after="20"/>
            </w:pPr>
            <w:r>
              <w:rPr>
                <w:sz w:val="20"/>
              </w:rPr>
              <w:t>Intervalos de confiança de 95% via bootstrap por caso.</w:t>
            </w:r>
          </w:p>
        </w:tc>
      </w:tr>
      <w:tr w:rsidR="00E719D9">
        <w:trPr>
          <w:jc w:val="center"/>
        </w:trPr>
        <w:tc>
          <w:tcPr>
            <w:tcW w:w="3118" w:type="dxa"/>
          </w:tcPr>
          <w:p w:rsidR="00E719D9" w:rsidRDefault="001A2180">
            <w:pPr>
              <w:spacing w:before="20" w:after="20"/>
            </w:pPr>
            <w:r>
              <w:rPr>
                <w:sz w:val="20"/>
              </w:rPr>
              <w:t>Interpretabilidade</w:t>
            </w:r>
          </w:p>
        </w:tc>
        <w:tc>
          <w:tcPr>
            <w:tcW w:w="5386" w:type="dxa"/>
          </w:tcPr>
          <w:p w:rsidR="00E719D9" w:rsidRDefault="001A2180">
            <w:pPr>
              <w:spacing w:before="20" w:after="20"/>
            </w:pPr>
            <w:r>
              <w:rPr>
                <w:sz w:val="20"/>
              </w:rPr>
              <w:t>Mapas Grad-CAM por classe e por qu</w:t>
            </w:r>
            <w:r>
              <w:rPr>
                <w:sz w:val="20"/>
              </w:rPr>
              <w:t>adrante da matriz de confusão.</w:t>
            </w:r>
          </w:p>
        </w:tc>
      </w:tr>
    </w:tbl>
    <w:p w:rsidR="00E719D9" w:rsidRDefault="00E719D9">
      <w:pPr>
        <w:spacing w:after="40"/>
      </w:pPr>
    </w:p>
    <w:p w:rsidR="00E719D9" w:rsidRDefault="001A2180">
      <w:pPr>
        <w:pStyle w:val="Ttulo2"/>
      </w:pPr>
      <w:r>
        <w:t>3.3 Metodologia de desenvolvimento</w:t>
      </w:r>
    </w:p>
    <w:p w:rsidR="00E719D9" w:rsidRDefault="001A2180">
      <w:pPr>
        <w:jc w:val="both"/>
      </w:pPr>
      <w:r>
        <w:t xml:space="preserve">O desenvolvimento seguiu um processo iterativo e incremental. Uma primeira versão, baseada em ResNet-34 e com função de perda BCE com suavização de rótulos, serviu de prova de conceito e </w:t>
      </w:r>
      <w:r>
        <w:t xml:space="preserve">expôs limitações de implementação (descritas na Seção 5.3). A versão atual, documentada neste relatório, evoluiu para um backbone EfficientNet-B3, incorporou perda Focal, MixUp, escalonamento por cosseno com reinícios, TTA de quatro vistas, calibração por </w:t>
      </w:r>
      <w:r>
        <w:t>temperatura, limiar com restrição de sensibilidade e explicabilidade por Grad-CAM, além de corrigir defeitos identificados na iteração anterior. Cada incremento foi validado pelo protocolo de avaliação da Seção 5, comparando-se métricas por caso entre vers</w:t>
      </w:r>
      <w:r>
        <w:t>ões.</w:t>
      </w:r>
    </w:p>
    <w:p w:rsidR="00E719D9" w:rsidRDefault="001A2180">
      <w:pPr>
        <w:pStyle w:val="Ttulo1"/>
      </w:pPr>
      <w:r>
        <w:lastRenderedPageBreak/>
        <w:t>4. Desenvolvimento</w:t>
      </w:r>
    </w:p>
    <w:p w:rsidR="00E719D9" w:rsidRDefault="001A2180">
      <w:pPr>
        <w:pStyle w:val="Ttulo2"/>
      </w:pPr>
      <w:r>
        <w:t>4.1 Arquitetura de software e visão de processo</w:t>
      </w:r>
    </w:p>
    <w:p w:rsidR="00E719D9" w:rsidRDefault="001A2180">
      <w:pPr>
        <w:jc w:val="both"/>
      </w:pPr>
      <w:r>
        <w:t>O Cervix Visual AI é estruturado como uma arquitetura em camadas, com responsabilidades bem delimitadas e fluxo de controle descendente. A Figura 1 apresenta a visão de processo — a se</w:t>
      </w:r>
      <w:r>
        <w:t>quência de transformações aplicadas aos dados, da leitura do arquivo da IARC até a geração de métricas e mapas de explicabilidade.</w:t>
      </w:r>
    </w:p>
    <w:p w:rsidR="00E719D9" w:rsidRDefault="001A2180">
      <w:pPr>
        <w:spacing w:before="160"/>
        <w:jc w:val="center"/>
      </w:pPr>
      <w:r>
        <w:rPr>
          <w:noProof/>
          <w:lang w:val="pt-BR" w:eastAsia="pt-BR"/>
        </w:rPr>
        <w:drawing>
          <wp:inline distT="0" distB="0" distL="0" distR="0">
            <wp:extent cx="5580000" cy="36314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ipeline.png"/>
                    <pic:cNvPicPr/>
                  </pic:nvPicPr>
                  <pic:blipFill>
                    <a:blip r:embed="rId7"/>
                    <a:stretch>
                      <a:fillRect/>
                    </a:stretch>
                  </pic:blipFill>
                  <pic:spPr>
                    <a:xfrm>
                      <a:off x="0" y="0"/>
                      <a:ext cx="5580000" cy="3631479"/>
                    </a:xfrm>
                    <a:prstGeom prst="rect">
                      <a:avLst/>
                    </a:prstGeom>
                  </pic:spPr>
                </pic:pic>
              </a:graphicData>
            </a:graphic>
          </wp:inline>
        </w:drawing>
      </w:r>
    </w:p>
    <w:p w:rsidR="00E719D9" w:rsidRDefault="001A2180">
      <w:pPr>
        <w:spacing w:after="200"/>
        <w:jc w:val="center"/>
      </w:pPr>
      <w:r>
        <w:rPr>
          <w:b/>
          <w:sz w:val="20"/>
        </w:rPr>
        <w:t>Figura 1. Visão de processo do pipeline Cervix Visual AI, da ingestão dos dados à avaliação por caso, calibração e interpre</w:t>
      </w:r>
      <w:r>
        <w:rPr>
          <w:b/>
          <w:sz w:val="20"/>
        </w:rPr>
        <w:t>tabilidade.</w:t>
      </w:r>
    </w:p>
    <w:p w:rsidR="00E719D9" w:rsidRDefault="001A2180">
      <w:pPr>
        <w:jc w:val="both"/>
      </w:pPr>
      <w:r>
        <w:t>A Figura 2 apresenta a visão estrutural complementar: a organização do software em camadas (Interface, Orquestração, Dados, Modelo, Treino e Otimização, Inferência e Calibração, Avaliação e Métricas, Explicabilidade e Saída) e sua dependência d</w:t>
      </w:r>
      <w:r>
        <w:t>as bibliotecas externas. Cada camada depende apenas de serviços expostos pelas camadas inferiores, o que reduz o acoplamento e facilita a substituição de componentes.</w:t>
      </w:r>
    </w:p>
    <w:p w:rsidR="00E719D9" w:rsidRDefault="001A2180">
      <w:pPr>
        <w:spacing w:before="160"/>
        <w:jc w:val="center"/>
      </w:pPr>
      <w:r>
        <w:rPr>
          <w:noProof/>
          <w:lang w:val="pt-BR" w:eastAsia="pt-BR"/>
        </w:rPr>
        <w:lastRenderedPageBreak/>
        <w:drawing>
          <wp:inline distT="0" distB="0" distL="0" distR="0">
            <wp:extent cx="5580000" cy="53082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png"/>
                    <pic:cNvPicPr/>
                  </pic:nvPicPr>
                  <pic:blipFill>
                    <a:blip r:embed="rId8"/>
                    <a:stretch>
                      <a:fillRect/>
                    </a:stretch>
                  </pic:blipFill>
                  <pic:spPr>
                    <a:xfrm>
                      <a:off x="0" y="0"/>
                      <a:ext cx="5580000" cy="5308271"/>
                    </a:xfrm>
                    <a:prstGeom prst="rect">
                      <a:avLst/>
                    </a:prstGeom>
                  </pic:spPr>
                </pic:pic>
              </a:graphicData>
            </a:graphic>
          </wp:inline>
        </w:drawing>
      </w:r>
    </w:p>
    <w:p w:rsidR="00E719D9" w:rsidRDefault="001A2180">
      <w:pPr>
        <w:spacing w:after="200"/>
        <w:jc w:val="center"/>
      </w:pPr>
      <w:r>
        <w:rPr>
          <w:b/>
          <w:sz w:val="20"/>
        </w:rPr>
        <w:t>Figura 2. Arquitetura de software em camadas; à direita, as bibliotecas externas utiliz</w:t>
      </w:r>
      <w:r>
        <w:rPr>
          <w:b/>
          <w:sz w:val="20"/>
        </w:rPr>
        <w:t>adas (PyTorch/torchvision, scikit-learn, pandas/NumPy, matplotlib/Plotly, OpenCV/PIL).</w:t>
      </w:r>
    </w:p>
    <w:p w:rsidR="00E719D9" w:rsidRDefault="001A2180">
      <w:pPr>
        <w:pStyle w:val="Ttulo2"/>
      </w:pPr>
      <w:r>
        <w:t>4.2 Dados: preparação e divisão por paciente</w:t>
      </w:r>
    </w:p>
    <w:p w:rsidR="00E719D9" w:rsidRDefault="001A2180">
      <w:pPr>
        <w:jc w:val="both"/>
      </w:pPr>
      <w:r>
        <w:t>O pipeline pressupõe o acesso a um arquivo ZIP do IARC Cervical Image Bank, contendo as planilhas “Cases - Images.xlsx” e “C</w:t>
      </w:r>
      <w:r>
        <w:t>ases Meta data.xlsx” e os arquivos de imagem [2]. A função prepare_iarc_dataset() restringe-se às imagens do tipo “After acetic acid”, extrai cada imagem e gera dois manifestos (manifest.csv, por imagem; case_manifest.csv, por caso). O rótulo binário não é</w:t>
      </w:r>
      <w:r>
        <w:t xml:space="preserve"> fornecido diretamente: é derivado por mineração de texto do campo “Provisional diagnosis” — normalize_text() limpa o texto e derive_target() atribui high_grade_or_cancer caso haja termos como “hsil”, “cin2/3”, “carcinoma” ou “cancer”, e negative_or_low_gr</w:t>
      </w:r>
      <w:r>
        <w:t>ade caso contrário. Trata-se de rotulagem fraca (weak labeling), cuja limitação (ausência de tratamento de negação) é discutida na Seção 6.</w:t>
      </w:r>
    </w:p>
    <w:p w:rsidR="00E719D9" w:rsidRDefault="001A2180">
      <w:pPr>
        <w:jc w:val="both"/>
      </w:pPr>
      <w:r>
        <w:t xml:space="preserve">A divisão dos dados é estratificada e realizada no nível do paciente (Figura 3): 70% dos casos para treino e os 30% </w:t>
      </w:r>
      <w:r>
        <w:t xml:space="preserve">restantes divididos igualmente entre validação e teste (≈70/15/15). Como um caso pode contribuir com múltiplas imagens, dividir por imagem </w:t>
      </w:r>
      <w:r>
        <w:lastRenderedPageBreak/>
        <w:t>configuraria vazamento de dados; load_manifest() verifica que cada paciente pertence a uma única divisão, e a avaliaç</w:t>
      </w:r>
      <w:r>
        <w:t>ão é sempre agregada por caso.</w:t>
      </w:r>
    </w:p>
    <w:p w:rsidR="00E719D9" w:rsidRDefault="001A2180">
      <w:pPr>
        <w:spacing w:before="160"/>
        <w:jc w:val="center"/>
      </w:pPr>
      <w:r>
        <w:rPr>
          <w:noProof/>
          <w:lang w:val="pt-BR" w:eastAsia="pt-BR"/>
        </w:rPr>
        <w:drawing>
          <wp:inline distT="0" distB="0" distL="0" distR="0">
            <wp:extent cx="5400000" cy="15357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split.png"/>
                    <pic:cNvPicPr/>
                  </pic:nvPicPr>
                  <pic:blipFill>
                    <a:blip r:embed="rId9"/>
                    <a:stretch>
                      <a:fillRect/>
                    </a:stretch>
                  </pic:blipFill>
                  <pic:spPr>
                    <a:xfrm>
                      <a:off x="0" y="0"/>
                      <a:ext cx="5400000" cy="1535780"/>
                    </a:xfrm>
                    <a:prstGeom prst="rect">
                      <a:avLst/>
                    </a:prstGeom>
                  </pic:spPr>
                </pic:pic>
              </a:graphicData>
            </a:graphic>
          </wp:inline>
        </w:drawing>
      </w:r>
    </w:p>
    <w:p w:rsidR="00E719D9" w:rsidRDefault="001A2180">
      <w:pPr>
        <w:spacing w:after="200"/>
        <w:jc w:val="center"/>
      </w:pPr>
      <w:r>
        <w:rPr>
          <w:b/>
          <w:sz w:val="20"/>
        </w:rPr>
        <w:t>Figura 3. Divisão estratificada no nível do paciente, evitando vazamento de dados entre as divisões.</w:t>
      </w:r>
    </w:p>
    <w:p w:rsidR="00E719D9" w:rsidRDefault="001A2180">
      <w:pPr>
        <w:pStyle w:val="Ttulo2"/>
      </w:pPr>
      <w:r>
        <w:t>4.3 Modelo, aumento de dados e treinamento</w:t>
      </w:r>
    </w:p>
    <w:p w:rsidR="00E719D9" w:rsidRDefault="001A2180">
      <w:pPr>
        <w:jc w:val="both"/>
      </w:pPr>
      <w:r>
        <w:t>A classe CervixImageDataset carrega cada imagem, aplica as transformações e val</w:t>
      </w:r>
      <w:r>
        <w:t>ida o tensor (NaN/Inf). O pipeline de treino adota um esquema de aumento de dados agressivo (Tabela 2), voltado a mitigar o sobreajuste em um conjunto médico pequeno; o pipeline de avaliação é determinístico (redimensionamento, tensor e normalização ImageN</w:t>
      </w:r>
      <w:r>
        <w:t>et).</w:t>
      </w:r>
    </w:p>
    <w:p w:rsidR="00E719D9" w:rsidRDefault="001A2180">
      <w:pPr>
        <w:spacing w:before="160" w:after="60"/>
        <w:jc w:val="center"/>
      </w:pPr>
      <w:r>
        <w:rPr>
          <w:b/>
          <w:sz w:val="20"/>
        </w:rPr>
        <w:t>Tabela 2. Operações de aumento de dados aplicadas ao conjunto de treino.</w:t>
      </w:r>
    </w:p>
    <w:tbl>
      <w:tblPr>
        <w:tblStyle w:val="Tabelacomgrade"/>
        <w:tblW w:w="0" w:type="auto"/>
        <w:jc w:val="center"/>
        <w:tblLook w:val="04A0"/>
      </w:tblPr>
      <w:tblGrid>
        <w:gridCol w:w="4819"/>
        <w:gridCol w:w="3685"/>
      </w:tblGrid>
      <w:tr w:rsidR="00E719D9">
        <w:trPr>
          <w:jc w:val="center"/>
        </w:trPr>
        <w:tc>
          <w:tcPr>
            <w:tcW w:w="4819" w:type="dxa"/>
            <w:shd w:val="clear" w:color="auto" w:fill="D9D9D9"/>
          </w:tcPr>
          <w:p w:rsidR="00E719D9" w:rsidRDefault="001A2180">
            <w:pPr>
              <w:spacing w:before="20" w:after="20"/>
            </w:pPr>
            <w:r>
              <w:rPr>
                <w:b/>
                <w:sz w:val="20"/>
              </w:rPr>
              <w:t>Operação de aumento (treino)</w:t>
            </w:r>
          </w:p>
        </w:tc>
        <w:tc>
          <w:tcPr>
            <w:tcW w:w="3685" w:type="dxa"/>
            <w:shd w:val="clear" w:color="auto" w:fill="D9D9D9"/>
          </w:tcPr>
          <w:p w:rsidR="00E719D9" w:rsidRDefault="001A2180">
            <w:pPr>
              <w:spacing w:before="20" w:after="20"/>
            </w:pPr>
            <w:r>
              <w:rPr>
                <w:b/>
                <w:sz w:val="20"/>
              </w:rPr>
              <w:t>Parâmetros</w:t>
            </w:r>
          </w:p>
        </w:tc>
      </w:tr>
      <w:tr w:rsidR="00E719D9">
        <w:trPr>
          <w:jc w:val="center"/>
        </w:trPr>
        <w:tc>
          <w:tcPr>
            <w:tcW w:w="4819" w:type="dxa"/>
          </w:tcPr>
          <w:p w:rsidR="00E719D9" w:rsidRDefault="001A2180">
            <w:pPr>
              <w:spacing w:before="20" w:after="20"/>
            </w:pPr>
            <w:r>
              <w:rPr>
                <w:sz w:val="20"/>
              </w:rPr>
              <w:t>Resize + RandomCrop</w:t>
            </w:r>
          </w:p>
        </w:tc>
        <w:tc>
          <w:tcPr>
            <w:tcW w:w="3685" w:type="dxa"/>
          </w:tcPr>
          <w:p w:rsidR="00E719D9" w:rsidRDefault="001A2180">
            <w:pPr>
              <w:spacing w:before="20" w:after="20"/>
            </w:pPr>
            <w:r>
              <w:rPr>
                <w:sz w:val="20"/>
              </w:rPr>
              <w:t>sobredimensiona +15% e recorta para image_size</w:t>
            </w:r>
          </w:p>
        </w:tc>
      </w:tr>
      <w:tr w:rsidR="00E719D9">
        <w:trPr>
          <w:jc w:val="center"/>
        </w:trPr>
        <w:tc>
          <w:tcPr>
            <w:tcW w:w="4819" w:type="dxa"/>
            <w:shd w:val="clear" w:color="auto" w:fill="F2F2F2"/>
          </w:tcPr>
          <w:p w:rsidR="00E719D9" w:rsidRDefault="001A2180">
            <w:pPr>
              <w:spacing w:before="20" w:after="20"/>
            </w:pPr>
            <w:r>
              <w:rPr>
                <w:sz w:val="20"/>
              </w:rPr>
              <w:t>RandomHorizontalFlip / VerticalFlip</w:t>
            </w:r>
          </w:p>
        </w:tc>
        <w:tc>
          <w:tcPr>
            <w:tcW w:w="3685" w:type="dxa"/>
            <w:shd w:val="clear" w:color="auto" w:fill="F2F2F2"/>
          </w:tcPr>
          <w:p w:rsidR="00E719D9" w:rsidRDefault="001A2180">
            <w:pPr>
              <w:spacing w:before="20" w:after="20"/>
            </w:pPr>
            <w:r>
              <w:rPr>
                <w:sz w:val="20"/>
              </w:rPr>
              <w:t>p = 0,50 / p = 0,30</w:t>
            </w:r>
          </w:p>
        </w:tc>
      </w:tr>
      <w:tr w:rsidR="00E719D9">
        <w:trPr>
          <w:jc w:val="center"/>
        </w:trPr>
        <w:tc>
          <w:tcPr>
            <w:tcW w:w="4819" w:type="dxa"/>
          </w:tcPr>
          <w:p w:rsidR="00E719D9" w:rsidRDefault="001A2180">
            <w:pPr>
              <w:spacing w:before="20" w:after="20"/>
            </w:pPr>
            <w:r>
              <w:rPr>
                <w:sz w:val="20"/>
              </w:rPr>
              <w:t>RandomRotation</w:t>
            </w:r>
          </w:p>
        </w:tc>
        <w:tc>
          <w:tcPr>
            <w:tcW w:w="3685" w:type="dxa"/>
          </w:tcPr>
          <w:p w:rsidR="00E719D9" w:rsidRDefault="001A2180">
            <w:pPr>
              <w:spacing w:before="20" w:after="20"/>
            </w:pPr>
            <w:r>
              <w:rPr>
                <w:sz w:val="20"/>
              </w:rPr>
              <w:t>± 30°</w:t>
            </w:r>
          </w:p>
        </w:tc>
      </w:tr>
      <w:tr w:rsidR="00E719D9">
        <w:trPr>
          <w:jc w:val="center"/>
        </w:trPr>
        <w:tc>
          <w:tcPr>
            <w:tcW w:w="4819" w:type="dxa"/>
            <w:shd w:val="clear" w:color="auto" w:fill="F2F2F2"/>
          </w:tcPr>
          <w:p w:rsidR="00E719D9" w:rsidRDefault="001A2180">
            <w:pPr>
              <w:spacing w:before="20" w:after="20"/>
            </w:pPr>
            <w:r>
              <w:rPr>
                <w:sz w:val="20"/>
              </w:rPr>
              <w:t>RandomPerspective</w:t>
            </w:r>
          </w:p>
        </w:tc>
        <w:tc>
          <w:tcPr>
            <w:tcW w:w="3685" w:type="dxa"/>
            <w:shd w:val="clear" w:color="auto" w:fill="F2F2F2"/>
          </w:tcPr>
          <w:p w:rsidR="00E719D9" w:rsidRDefault="001A2180">
            <w:pPr>
              <w:spacing w:before="20" w:after="20"/>
            </w:pPr>
            <w:r>
              <w:rPr>
                <w:sz w:val="20"/>
              </w:rPr>
              <w:t>distortion_scale = 0,35; p = 0,50</w:t>
            </w:r>
          </w:p>
        </w:tc>
      </w:tr>
      <w:tr w:rsidR="00E719D9">
        <w:trPr>
          <w:jc w:val="center"/>
        </w:trPr>
        <w:tc>
          <w:tcPr>
            <w:tcW w:w="4819" w:type="dxa"/>
          </w:tcPr>
          <w:p w:rsidR="00E719D9" w:rsidRDefault="001A2180">
            <w:pPr>
              <w:spacing w:before="20" w:after="20"/>
            </w:pPr>
            <w:r>
              <w:rPr>
                <w:sz w:val="20"/>
              </w:rPr>
              <w:t>RandomAffine</w:t>
            </w:r>
          </w:p>
        </w:tc>
        <w:tc>
          <w:tcPr>
            <w:tcW w:w="3685" w:type="dxa"/>
          </w:tcPr>
          <w:p w:rsidR="00E719D9" w:rsidRDefault="001A2180">
            <w:pPr>
              <w:spacing w:before="20" w:after="20"/>
            </w:pPr>
            <w:r>
              <w:rPr>
                <w:sz w:val="20"/>
              </w:rPr>
              <w:t>rot 20°, translação 12%, escala 0,80–1,20, shear 12</w:t>
            </w:r>
          </w:p>
        </w:tc>
      </w:tr>
      <w:tr w:rsidR="00E719D9">
        <w:trPr>
          <w:jc w:val="center"/>
        </w:trPr>
        <w:tc>
          <w:tcPr>
            <w:tcW w:w="4819" w:type="dxa"/>
            <w:shd w:val="clear" w:color="auto" w:fill="F2F2F2"/>
          </w:tcPr>
          <w:p w:rsidR="00E719D9" w:rsidRDefault="001A2180">
            <w:pPr>
              <w:spacing w:before="20" w:after="20"/>
            </w:pPr>
            <w:r>
              <w:rPr>
                <w:sz w:val="20"/>
              </w:rPr>
              <w:t>ColorJitter</w:t>
            </w:r>
          </w:p>
        </w:tc>
        <w:tc>
          <w:tcPr>
            <w:tcW w:w="3685" w:type="dxa"/>
            <w:shd w:val="clear" w:color="auto" w:fill="F2F2F2"/>
          </w:tcPr>
          <w:p w:rsidR="00E719D9" w:rsidRDefault="001A2180">
            <w:pPr>
              <w:spacing w:before="20" w:after="20"/>
            </w:pPr>
            <w:r>
              <w:rPr>
                <w:sz w:val="20"/>
              </w:rPr>
              <w:t>brilho 0,45; contraste 0,40; saturação 0,35; matiz 0,12</w:t>
            </w:r>
          </w:p>
        </w:tc>
      </w:tr>
      <w:tr w:rsidR="00E719D9">
        <w:trPr>
          <w:jc w:val="center"/>
        </w:trPr>
        <w:tc>
          <w:tcPr>
            <w:tcW w:w="4819" w:type="dxa"/>
          </w:tcPr>
          <w:p w:rsidR="00E719D9" w:rsidRDefault="001A2180">
            <w:pPr>
              <w:spacing w:before="20" w:after="20"/>
            </w:pPr>
            <w:r>
              <w:rPr>
                <w:sz w:val="20"/>
              </w:rPr>
              <w:t xml:space="preserve">Sharpness / Autocontrast / GaussianBlur / </w:t>
            </w:r>
            <w:r>
              <w:rPr>
                <w:sz w:val="20"/>
              </w:rPr>
              <w:t>Grayscale</w:t>
            </w:r>
          </w:p>
        </w:tc>
        <w:tc>
          <w:tcPr>
            <w:tcW w:w="3685" w:type="dxa"/>
          </w:tcPr>
          <w:p w:rsidR="00E719D9" w:rsidRDefault="001A2180">
            <w:pPr>
              <w:spacing w:before="20" w:after="20"/>
            </w:pPr>
            <w:r>
              <w:rPr>
                <w:sz w:val="20"/>
              </w:rPr>
              <w:t>p = 0,40 / 0,30 / sempre / 0,05</w:t>
            </w:r>
          </w:p>
        </w:tc>
      </w:tr>
      <w:tr w:rsidR="00E719D9">
        <w:trPr>
          <w:jc w:val="center"/>
        </w:trPr>
        <w:tc>
          <w:tcPr>
            <w:tcW w:w="4819" w:type="dxa"/>
            <w:shd w:val="clear" w:color="auto" w:fill="F2F2F2"/>
          </w:tcPr>
          <w:p w:rsidR="00E719D9" w:rsidRDefault="001A2180">
            <w:pPr>
              <w:spacing w:before="20" w:after="20"/>
            </w:pPr>
            <w:r>
              <w:rPr>
                <w:sz w:val="20"/>
              </w:rPr>
              <w:t>RandomErasing (×2)</w:t>
            </w:r>
          </w:p>
        </w:tc>
        <w:tc>
          <w:tcPr>
            <w:tcW w:w="3685" w:type="dxa"/>
            <w:shd w:val="clear" w:color="auto" w:fill="F2F2F2"/>
          </w:tcPr>
          <w:p w:rsidR="00E719D9" w:rsidRDefault="001A2180">
            <w:pPr>
              <w:spacing w:before="20" w:after="20"/>
            </w:pPr>
            <w:r>
              <w:rPr>
                <w:sz w:val="20"/>
              </w:rPr>
              <w:t>p = 0,35 e p = 0,25 (escalas distintas)</w:t>
            </w:r>
          </w:p>
        </w:tc>
      </w:tr>
    </w:tbl>
    <w:p w:rsidR="00E719D9" w:rsidRDefault="00E719D9">
      <w:pPr>
        <w:spacing w:after="40"/>
      </w:pPr>
    </w:p>
    <w:p w:rsidR="00E719D9" w:rsidRDefault="001A2180">
      <w:pPr>
        <w:jc w:val="both"/>
      </w:pPr>
      <w:r>
        <w:t xml:space="preserve">A função build_model() instancia, por padrão, uma EfficientNet-B3 pré-treinada na ImageNet [13], escolhida pelo bom equilíbrio entre acurácia e custo </w:t>
      </w:r>
      <w:r>
        <w:t>proporcionado pelo escalonamento composto. A Tabela 3 lista as quatro arquiteturas efetivamente suportadas.</w:t>
      </w:r>
    </w:p>
    <w:p w:rsidR="00E719D9" w:rsidRDefault="001A2180">
      <w:pPr>
        <w:spacing w:before="160" w:after="60"/>
        <w:jc w:val="center"/>
      </w:pPr>
      <w:r>
        <w:rPr>
          <w:b/>
          <w:sz w:val="20"/>
        </w:rPr>
        <w:t>Tabela 3. Arquiteturas de backbone suportadas por build_model().</w:t>
      </w:r>
    </w:p>
    <w:tbl>
      <w:tblPr>
        <w:tblStyle w:val="Tabelacomgrade"/>
        <w:tblW w:w="0" w:type="auto"/>
        <w:jc w:val="center"/>
        <w:tblLook w:val="04A0"/>
      </w:tblPr>
      <w:tblGrid>
        <w:gridCol w:w="2551"/>
        <w:gridCol w:w="5953"/>
      </w:tblGrid>
      <w:tr w:rsidR="00E719D9">
        <w:trPr>
          <w:jc w:val="center"/>
        </w:trPr>
        <w:tc>
          <w:tcPr>
            <w:tcW w:w="2551" w:type="dxa"/>
            <w:shd w:val="clear" w:color="auto" w:fill="D9D9D9"/>
          </w:tcPr>
          <w:p w:rsidR="00E719D9" w:rsidRDefault="001A2180">
            <w:pPr>
              <w:spacing w:before="20" w:after="20"/>
            </w:pPr>
            <w:r>
              <w:rPr>
                <w:b/>
                <w:sz w:val="20"/>
              </w:rPr>
              <w:t>Arquitetura</w:t>
            </w:r>
          </w:p>
        </w:tc>
        <w:tc>
          <w:tcPr>
            <w:tcW w:w="5953" w:type="dxa"/>
            <w:shd w:val="clear" w:color="auto" w:fill="D9D9D9"/>
          </w:tcPr>
          <w:p w:rsidR="00E719D9" w:rsidRDefault="001A2180">
            <w:pPr>
              <w:spacing w:before="20" w:after="20"/>
            </w:pPr>
            <w:r>
              <w:rPr>
                <w:b/>
                <w:sz w:val="20"/>
              </w:rPr>
              <w:t>Observações</w:t>
            </w:r>
          </w:p>
        </w:tc>
      </w:tr>
      <w:tr w:rsidR="00E719D9">
        <w:trPr>
          <w:jc w:val="center"/>
        </w:trPr>
        <w:tc>
          <w:tcPr>
            <w:tcW w:w="2551" w:type="dxa"/>
          </w:tcPr>
          <w:p w:rsidR="00E719D9" w:rsidRDefault="001A2180">
            <w:pPr>
              <w:spacing w:before="20" w:after="20"/>
            </w:pPr>
            <w:r>
              <w:rPr>
                <w:sz w:val="20"/>
              </w:rPr>
              <w:t>efficientnet_b3</w:t>
            </w:r>
          </w:p>
        </w:tc>
        <w:tc>
          <w:tcPr>
            <w:tcW w:w="5953" w:type="dxa"/>
          </w:tcPr>
          <w:p w:rsidR="00E719D9" w:rsidRDefault="001A2180">
            <w:pPr>
              <w:spacing w:before="20" w:after="20"/>
            </w:pPr>
            <w:r>
              <w:rPr>
                <w:sz w:val="20"/>
              </w:rPr>
              <w:t>Padrão; escalonamento composto; equilíbrio</w:t>
            </w:r>
            <w:r>
              <w:rPr>
                <w:sz w:val="20"/>
              </w:rPr>
              <w:t xml:space="preserve"> acurácia/custo [13]</w:t>
            </w:r>
          </w:p>
        </w:tc>
      </w:tr>
      <w:tr w:rsidR="00E719D9">
        <w:trPr>
          <w:jc w:val="center"/>
        </w:trPr>
        <w:tc>
          <w:tcPr>
            <w:tcW w:w="2551" w:type="dxa"/>
            <w:shd w:val="clear" w:color="auto" w:fill="F2F2F2"/>
          </w:tcPr>
          <w:p w:rsidR="00E719D9" w:rsidRDefault="001A2180">
            <w:pPr>
              <w:spacing w:before="20" w:after="20"/>
            </w:pPr>
            <w:r>
              <w:rPr>
                <w:sz w:val="20"/>
              </w:rPr>
              <w:t>efficientnet_b4</w:t>
            </w:r>
          </w:p>
        </w:tc>
        <w:tc>
          <w:tcPr>
            <w:tcW w:w="5953" w:type="dxa"/>
            <w:shd w:val="clear" w:color="auto" w:fill="F2F2F2"/>
          </w:tcPr>
          <w:p w:rsidR="00E719D9" w:rsidRDefault="001A2180">
            <w:pPr>
              <w:spacing w:before="20" w:after="20"/>
            </w:pPr>
            <w:r>
              <w:rPr>
                <w:sz w:val="20"/>
              </w:rPr>
              <w:t>Maior capacidade e campo receptivo [13]</w:t>
            </w:r>
          </w:p>
        </w:tc>
      </w:tr>
      <w:tr w:rsidR="00E719D9">
        <w:trPr>
          <w:jc w:val="center"/>
        </w:trPr>
        <w:tc>
          <w:tcPr>
            <w:tcW w:w="2551" w:type="dxa"/>
          </w:tcPr>
          <w:p w:rsidR="00E719D9" w:rsidRDefault="001A2180">
            <w:pPr>
              <w:spacing w:before="20" w:after="20"/>
            </w:pPr>
            <w:r>
              <w:rPr>
                <w:sz w:val="20"/>
              </w:rPr>
              <w:t>resnet34</w:t>
            </w:r>
          </w:p>
        </w:tc>
        <w:tc>
          <w:tcPr>
            <w:tcW w:w="5953" w:type="dxa"/>
          </w:tcPr>
          <w:p w:rsidR="00E719D9" w:rsidRDefault="001A2180">
            <w:pPr>
              <w:spacing w:before="20" w:after="20"/>
            </w:pPr>
            <w:r>
              <w:rPr>
                <w:sz w:val="20"/>
              </w:rPr>
              <w:t>Linha de base com conexões residuais [9]</w:t>
            </w:r>
          </w:p>
        </w:tc>
      </w:tr>
      <w:tr w:rsidR="00E719D9">
        <w:trPr>
          <w:jc w:val="center"/>
        </w:trPr>
        <w:tc>
          <w:tcPr>
            <w:tcW w:w="2551" w:type="dxa"/>
            <w:shd w:val="clear" w:color="auto" w:fill="F2F2F2"/>
          </w:tcPr>
          <w:p w:rsidR="00E719D9" w:rsidRDefault="001A2180">
            <w:pPr>
              <w:spacing w:before="20" w:after="20"/>
            </w:pPr>
            <w:r>
              <w:rPr>
                <w:sz w:val="20"/>
              </w:rPr>
              <w:t>convnext_tiny</w:t>
            </w:r>
          </w:p>
        </w:tc>
        <w:tc>
          <w:tcPr>
            <w:tcW w:w="5953" w:type="dxa"/>
            <w:shd w:val="clear" w:color="auto" w:fill="F2F2F2"/>
          </w:tcPr>
          <w:p w:rsidR="00E719D9" w:rsidRDefault="001A2180">
            <w:pPr>
              <w:spacing w:before="20" w:after="20"/>
            </w:pPr>
            <w:r>
              <w:rPr>
                <w:sz w:val="20"/>
              </w:rPr>
              <w:t>ConvNet moderna; boa calibração [14]</w:t>
            </w:r>
          </w:p>
        </w:tc>
      </w:tr>
    </w:tbl>
    <w:p w:rsidR="00E719D9" w:rsidRDefault="00E719D9">
      <w:pPr>
        <w:spacing w:after="40"/>
      </w:pPr>
    </w:p>
    <w:p w:rsidR="00E719D9" w:rsidRDefault="001A2180">
      <w:pPr>
        <w:jc w:val="both"/>
      </w:pPr>
      <w:r>
        <w:t xml:space="preserve">Independentemente do backbone, a camada de classificação é substituída </w:t>
      </w:r>
      <w:r>
        <w:t xml:space="preserve">por uma cabeça de duas camadas (Figura 4): Dropout(0,40) → Linear(256) → ReLU → </w:t>
      </w:r>
      <w:r>
        <w:lastRenderedPageBreak/>
        <w:t>Dropout(0,20) → Linear(1). A transferência de aprendizado ocorre em duas fases (Figura 5): nas primeiras cinco épocas o backbone é congelado e apenas a cabeça é treinada; em se</w:t>
      </w:r>
      <w:r>
        <w:t>guida, a rede inteira é ajustada, com taxa de aprendizado do backbone igual a 0,1× a da cabeça.</w:t>
      </w:r>
    </w:p>
    <w:p w:rsidR="00E719D9" w:rsidRDefault="001A2180">
      <w:pPr>
        <w:spacing w:before="160"/>
        <w:jc w:val="center"/>
      </w:pPr>
      <w:r>
        <w:rPr>
          <w:noProof/>
          <w:lang w:val="pt-BR" w:eastAsia="pt-BR"/>
        </w:rPr>
        <w:drawing>
          <wp:inline distT="0" distB="0" distL="0" distR="0">
            <wp:extent cx="5580000" cy="13310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head.png"/>
                    <pic:cNvPicPr/>
                  </pic:nvPicPr>
                  <pic:blipFill>
                    <a:blip r:embed="rId10"/>
                    <a:stretch>
                      <a:fillRect/>
                    </a:stretch>
                  </pic:blipFill>
                  <pic:spPr>
                    <a:xfrm>
                      <a:off x="0" y="0"/>
                      <a:ext cx="5580000" cy="1331009"/>
                    </a:xfrm>
                    <a:prstGeom prst="rect">
                      <a:avLst/>
                    </a:prstGeom>
                  </pic:spPr>
                </pic:pic>
              </a:graphicData>
            </a:graphic>
          </wp:inline>
        </w:drawing>
      </w:r>
    </w:p>
    <w:p w:rsidR="00E719D9" w:rsidRDefault="001A2180">
      <w:pPr>
        <w:spacing w:after="200"/>
        <w:jc w:val="center"/>
      </w:pPr>
      <w:r>
        <w:rPr>
          <w:b/>
          <w:sz w:val="20"/>
        </w:rPr>
        <w:t>Figura 4. Cabeça de classificação de duas camadas sobre o vetor de características do backbone.</w:t>
      </w:r>
    </w:p>
    <w:p w:rsidR="00E719D9" w:rsidRDefault="001A2180">
      <w:pPr>
        <w:spacing w:before="160"/>
        <w:jc w:val="center"/>
      </w:pPr>
      <w:r>
        <w:rPr>
          <w:noProof/>
          <w:lang w:val="pt-BR" w:eastAsia="pt-BR"/>
        </w:rPr>
        <w:drawing>
          <wp:inline distT="0" distB="0" distL="0" distR="0">
            <wp:extent cx="5400000" cy="163486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finetune.png"/>
                    <pic:cNvPicPr/>
                  </pic:nvPicPr>
                  <pic:blipFill>
                    <a:blip r:embed="rId11"/>
                    <a:stretch>
                      <a:fillRect/>
                    </a:stretch>
                  </pic:blipFill>
                  <pic:spPr>
                    <a:xfrm>
                      <a:off x="0" y="0"/>
                      <a:ext cx="5400000" cy="1634862"/>
                    </a:xfrm>
                    <a:prstGeom prst="rect">
                      <a:avLst/>
                    </a:prstGeom>
                  </pic:spPr>
                </pic:pic>
              </a:graphicData>
            </a:graphic>
          </wp:inline>
        </w:drawing>
      </w:r>
    </w:p>
    <w:p w:rsidR="00E719D9" w:rsidRDefault="001A2180">
      <w:pPr>
        <w:spacing w:after="200"/>
        <w:jc w:val="center"/>
      </w:pPr>
      <w:r>
        <w:rPr>
          <w:b/>
          <w:sz w:val="20"/>
        </w:rPr>
        <w:t>Figura 5. Transferência de aprendizado em duas fases (congel</w:t>
      </w:r>
      <w:r>
        <w:rPr>
          <w:b/>
          <w:sz w:val="20"/>
        </w:rPr>
        <w:t>amento inicial seguido de ajuste fino completo).</w:t>
      </w:r>
    </w:p>
    <w:p w:rsidR="00E719D9" w:rsidRDefault="001A2180">
      <w:pPr>
        <w:jc w:val="both"/>
      </w:pPr>
      <w:r>
        <w:t xml:space="preserve">O desbalanceamento é tratado pelo pos_weight da perda, calculado por caso e multiplicado por um fator (1,5). Duas perdas estão disponíveis (Tabela 4): a Focal Loss (γ = 2,0), padrão, que concentra o </w:t>
      </w:r>
      <w:r>
        <w:t>aprendizado nos exemplos difíceis [15]; e a BCE com suavização de rótulos. O otimizador é o AdamW [10] com taxas diferenciadas, e o agendamento usa CosineAnnealingWarmRestarts (T_0 = 10, T_mult = 2). O laço de treino aplica MixUp [18] e recorte de norma de</w:t>
      </w:r>
      <w:r>
        <w:t xml:space="preserve"> gradiente, e calcula métricas de treino e validação por época. A Tabela 5 resume os hiperparâmetros padrão.</w:t>
      </w:r>
    </w:p>
    <w:p w:rsidR="00E719D9" w:rsidRDefault="001A2180">
      <w:pPr>
        <w:spacing w:before="160" w:after="60"/>
        <w:jc w:val="center"/>
      </w:pPr>
      <w:r>
        <w:rPr>
          <w:b/>
          <w:sz w:val="20"/>
        </w:rPr>
        <w:t>Tabela 4. Funções de perda disponíveis (ambas com pos_weight).</w:t>
      </w:r>
    </w:p>
    <w:tbl>
      <w:tblPr>
        <w:tblStyle w:val="Tabelacomgrade"/>
        <w:tblW w:w="0" w:type="auto"/>
        <w:jc w:val="center"/>
        <w:tblLook w:val="04A0"/>
      </w:tblPr>
      <w:tblGrid>
        <w:gridCol w:w="2551"/>
        <w:gridCol w:w="5953"/>
      </w:tblGrid>
      <w:tr w:rsidR="00E719D9">
        <w:trPr>
          <w:jc w:val="center"/>
        </w:trPr>
        <w:tc>
          <w:tcPr>
            <w:tcW w:w="2551" w:type="dxa"/>
            <w:shd w:val="clear" w:color="auto" w:fill="D9D9D9"/>
          </w:tcPr>
          <w:p w:rsidR="00E719D9" w:rsidRDefault="001A2180">
            <w:pPr>
              <w:spacing w:before="20" w:after="20"/>
            </w:pPr>
            <w:r>
              <w:rPr>
                <w:b/>
                <w:sz w:val="20"/>
              </w:rPr>
              <w:t>Função de perda</w:t>
            </w:r>
          </w:p>
        </w:tc>
        <w:tc>
          <w:tcPr>
            <w:tcW w:w="5953" w:type="dxa"/>
            <w:shd w:val="clear" w:color="auto" w:fill="D9D9D9"/>
          </w:tcPr>
          <w:p w:rsidR="00E719D9" w:rsidRDefault="001A2180">
            <w:pPr>
              <w:spacing w:before="20" w:after="20"/>
            </w:pPr>
            <w:r>
              <w:rPr>
                <w:b/>
                <w:sz w:val="20"/>
              </w:rPr>
              <w:t>Descrição</w:t>
            </w:r>
          </w:p>
        </w:tc>
      </w:tr>
      <w:tr w:rsidR="00E719D9">
        <w:trPr>
          <w:jc w:val="center"/>
        </w:trPr>
        <w:tc>
          <w:tcPr>
            <w:tcW w:w="2551" w:type="dxa"/>
          </w:tcPr>
          <w:p w:rsidR="00E719D9" w:rsidRDefault="001A2180">
            <w:pPr>
              <w:spacing w:before="20" w:after="20"/>
            </w:pPr>
            <w:r>
              <w:rPr>
                <w:sz w:val="20"/>
              </w:rPr>
              <w:t>FocalLoss (padrão)</w:t>
            </w:r>
          </w:p>
        </w:tc>
        <w:tc>
          <w:tcPr>
            <w:tcW w:w="5953" w:type="dxa"/>
          </w:tcPr>
          <w:p w:rsidR="00E719D9" w:rsidRDefault="001A2180">
            <w:pPr>
              <w:spacing w:before="20" w:after="20"/>
            </w:pPr>
            <w:r>
              <w:rPr>
                <w:sz w:val="20"/>
              </w:rPr>
              <w:t>BCE modulada por (1 − p_t)^γ, γ = 2,0;</w:t>
            </w:r>
            <w:r>
              <w:rPr>
                <w:sz w:val="20"/>
              </w:rPr>
              <w:t xml:space="preserve"> foca exemplos difíceis [15]</w:t>
            </w:r>
          </w:p>
        </w:tc>
      </w:tr>
      <w:tr w:rsidR="00E719D9">
        <w:trPr>
          <w:jc w:val="center"/>
        </w:trPr>
        <w:tc>
          <w:tcPr>
            <w:tcW w:w="2551" w:type="dxa"/>
            <w:shd w:val="clear" w:color="auto" w:fill="F2F2F2"/>
          </w:tcPr>
          <w:p w:rsidR="00E719D9" w:rsidRDefault="001A2180">
            <w:pPr>
              <w:spacing w:before="20" w:after="20"/>
            </w:pPr>
            <w:r>
              <w:rPr>
                <w:sz w:val="20"/>
              </w:rPr>
              <w:t>LabelSmoothingBCE</w:t>
            </w:r>
          </w:p>
        </w:tc>
        <w:tc>
          <w:tcPr>
            <w:tcW w:w="5953" w:type="dxa"/>
            <w:shd w:val="clear" w:color="auto" w:fill="F2F2F2"/>
          </w:tcPr>
          <w:p w:rsidR="00E719D9" w:rsidRDefault="001A2180">
            <w:pPr>
              <w:spacing w:before="20" w:after="20"/>
            </w:pPr>
            <w:r>
              <w:rPr>
                <w:sz w:val="20"/>
              </w:rPr>
              <w:t>BCE com suavização de rótulos de 0,05; melhora a calibração</w:t>
            </w:r>
          </w:p>
        </w:tc>
      </w:tr>
    </w:tbl>
    <w:p w:rsidR="00E719D9" w:rsidRDefault="00E719D9">
      <w:pPr>
        <w:spacing w:after="40"/>
      </w:pPr>
    </w:p>
    <w:p w:rsidR="00E719D9" w:rsidRDefault="001A2180">
      <w:pPr>
        <w:spacing w:before="160" w:after="60"/>
        <w:jc w:val="center"/>
      </w:pPr>
      <w:r>
        <w:rPr>
          <w:b/>
          <w:sz w:val="20"/>
        </w:rPr>
        <w:t>Tabela 5. Hiperparâmetros padrão de treinamento.</w:t>
      </w:r>
    </w:p>
    <w:tbl>
      <w:tblPr>
        <w:tblStyle w:val="Tabelacomgrade"/>
        <w:tblW w:w="0" w:type="auto"/>
        <w:jc w:val="center"/>
        <w:tblLook w:val="04A0"/>
      </w:tblPr>
      <w:tblGrid>
        <w:gridCol w:w="3969"/>
        <w:gridCol w:w="4535"/>
      </w:tblGrid>
      <w:tr w:rsidR="00E719D9">
        <w:trPr>
          <w:jc w:val="center"/>
        </w:trPr>
        <w:tc>
          <w:tcPr>
            <w:tcW w:w="3969" w:type="dxa"/>
            <w:shd w:val="clear" w:color="auto" w:fill="D9D9D9"/>
          </w:tcPr>
          <w:p w:rsidR="00E719D9" w:rsidRDefault="001A2180">
            <w:pPr>
              <w:spacing w:before="20" w:after="20"/>
            </w:pPr>
            <w:r>
              <w:rPr>
                <w:b/>
                <w:sz w:val="20"/>
              </w:rPr>
              <w:t>Hiperparâmetro</w:t>
            </w:r>
          </w:p>
        </w:tc>
        <w:tc>
          <w:tcPr>
            <w:tcW w:w="4535" w:type="dxa"/>
            <w:shd w:val="clear" w:color="auto" w:fill="D9D9D9"/>
          </w:tcPr>
          <w:p w:rsidR="00E719D9" w:rsidRDefault="001A2180">
            <w:pPr>
              <w:spacing w:before="20" w:after="20"/>
            </w:pPr>
            <w:r>
              <w:rPr>
                <w:b/>
                <w:sz w:val="20"/>
              </w:rPr>
              <w:t>Valor padrão</w:t>
            </w:r>
          </w:p>
        </w:tc>
      </w:tr>
      <w:tr w:rsidR="00E719D9">
        <w:trPr>
          <w:jc w:val="center"/>
        </w:trPr>
        <w:tc>
          <w:tcPr>
            <w:tcW w:w="3969" w:type="dxa"/>
          </w:tcPr>
          <w:p w:rsidR="00E719D9" w:rsidRDefault="001A2180">
            <w:pPr>
              <w:spacing w:before="20" w:after="20"/>
            </w:pPr>
            <w:r>
              <w:rPr>
                <w:sz w:val="20"/>
              </w:rPr>
              <w:t>architecture / pretrained</w:t>
            </w:r>
          </w:p>
        </w:tc>
        <w:tc>
          <w:tcPr>
            <w:tcW w:w="4535" w:type="dxa"/>
          </w:tcPr>
          <w:p w:rsidR="00E719D9" w:rsidRDefault="001A2180">
            <w:pPr>
              <w:spacing w:before="20" w:after="20"/>
            </w:pPr>
            <w:r>
              <w:rPr>
                <w:sz w:val="20"/>
              </w:rPr>
              <w:t>efficientnet_b3 / True (ImageNet)</w:t>
            </w:r>
          </w:p>
        </w:tc>
      </w:tr>
      <w:tr w:rsidR="00E719D9">
        <w:trPr>
          <w:jc w:val="center"/>
        </w:trPr>
        <w:tc>
          <w:tcPr>
            <w:tcW w:w="3969" w:type="dxa"/>
            <w:shd w:val="clear" w:color="auto" w:fill="F2F2F2"/>
          </w:tcPr>
          <w:p w:rsidR="00E719D9" w:rsidRDefault="001A2180">
            <w:pPr>
              <w:spacing w:before="20" w:after="20"/>
            </w:pPr>
            <w:r>
              <w:rPr>
                <w:sz w:val="20"/>
              </w:rPr>
              <w:t>image_size / batch_size</w:t>
            </w:r>
          </w:p>
        </w:tc>
        <w:tc>
          <w:tcPr>
            <w:tcW w:w="4535" w:type="dxa"/>
            <w:shd w:val="clear" w:color="auto" w:fill="F2F2F2"/>
          </w:tcPr>
          <w:p w:rsidR="00E719D9" w:rsidRDefault="001A2180">
            <w:pPr>
              <w:spacing w:before="20" w:after="20"/>
            </w:pPr>
            <w:r>
              <w:rPr>
                <w:sz w:val="20"/>
              </w:rPr>
              <w:t>384 × 384 / 16 (8 na CLI)</w:t>
            </w:r>
          </w:p>
        </w:tc>
      </w:tr>
      <w:tr w:rsidR="00E719D9">
        <w:trPr>
          <w:jc w:val="center"/>
        </w:trPr>
        <w:tc>
          <w:tcPr>
            <w:tcW w:w="3969" w:type="dxa"/>
          </w:tcPr>
          <w:p w:rsidR="00E719D9" w:rsidRDefault="001A2180">
            <w:pPr>
              <w:spacing w:before="20" w:after="20"/>
            </w:pPr>
            <w:r>
              <w:rPr>
                <w:sz w:val="20"/>
              </w:rPr>
              <w:t>epochs / freeze_backbone_epochs / patience</w:t>
            </w:r>
          </w:p>
        </w:tc>
        <w:tc>
          <w:tcPr>
            <w:tcW w:w="4535" w:type="dxa"/>
          </w:tcPr>
          <w:p w:rsidR="00E719D9" w:rsidRDefault="001A2180">
            <w:pPr>
              <w:spacing w:before="20" w:after="20"/>
            </w:pPr>
            <w:r>
              <w:rPr>
                <w:sz w:val="20"/>
              </w:rPr>
              <w:t>30 / 5 / 20</w:t>
            </w:r>
          </w:p>
        </w:tc>
      </w:tr>
      <w:tr w:rsidR="00E719D9">
        <w:trPr>
          <w:jc w:val="center"/>
        </w:trPr>
        <w:tc>
          <w:tcPr>
            <w:tcW w:w="3969" w:type="dxa"/>
            <w:shd w:val="clear" w:color="auto" w:fill="F2F2F2"/>
          </w:tcPr>
          <w:p w:rsidR="00E719D9" w:rsidRDefault="001A2180">
            <w:pPr>
              <w:spacing w:before="20" w:after="20"/>
            </w:pPr>
            <w:r>
              <w:rPr>
                <w:sz w:val="20"/>
              </w:rPr>
              <w:t>learning_rate (cabeça) / backbone</w:t>
            </w:r>
          </w:p>
        </w:tc>
        <w:tc>
          <w:tcPr>
            <w:tcW w:w="4535" w:type="dxa"/>
            <w:shd w:val="clear" w:color="auto" w:fill="F2F2F2"/>
          </w:tcPr>
          <w:p w:rsidR="00E719D9" w:rsidRDefault="001A2180">
            <w:pPr>
              <w:spacing w:before="20" w:after="20"/>
            </w:pPr>
            <w:r>
              <w:rPr>
                <w:sz w:val="20"/>
              </w:rPr>
              <w:t>3 × 10⁻⁴ / 0,1×</w:t>
            </w:r>
          </w:p>
        </w:tc>
      </w:tr>
      <w:tr w:rsidR="00E719D9">
        <w:trPr>
          <w:jc w:val="center"/>
        </w:trPr>
        <w:tc>
          <w:tcPr>
            <w:tcW w:w="3969" w:type="dxa"/>
          </w:tcPr>
          <w:p w:rsidR="00E719D9" w:rsidRDefault="001A2180">
            <w:pPr>
              <w:spacing w:before="20" w:after="20"/>
            </w:pPr>
            <w:r>
              <w:rPr>
                <w:sz w:val="20"/>
              </w:rPr>
              <w:t>weight_decay</w:t>
            </w:r>
          </w:p>
        </w:tc>
        <w:tc>
          <w:tcPr>
            <w:tcW w:w="4535" w:type="dxa"/>
          </w:tcPr>
          <w:p w:rsidR="00E719D9" w:rsidRDefault="001A2180">
            <w:pPr>
              <w:spacing w:before="20" w:after="20"/>
            </w:pPr>
            <w:r>
              <w:rPr>
                <w:sz w:val="20"/>
              </w:rPr>
              <w:t>1 × 10⁻²</w:t>
            </w:r>
          </w:p>
        </w:tc>
      </w:tr>
      <w:tr w:rsidR="00E719D9">
        <w:trPr>
          <w:jc w:val="center"/>
        </w:trPr>
        <w:tc>
          <w:tcPr>
            <w:tcW w:w="3969" w:type="dxa"/>
            <w:shd w:val="clear" w:color="auto" w:fill="F2F2F2"/>
          </w:tcPr>
          <w:p w:rsidR="00E719D9" w:rsidRDefault="001A2180">
            <w:pPr>
              <w:spacing w:before="20" w:after="20"/>
            </w:pPr>
            <w:r>
              <w:rPr>
                <w:sz w:val="20"/>
              </w:rPr>
              <w:t>loss_type / pos_weight_multiplier</w:t>
            </w:r>
          </w:p>
        </w:tc>
        <w:tc>
          <w:tcPr>
            <w:tcW w:w="4535" w:type="dxa"/>
            <w:shd w:val="clear" w:color="auto" w:fill="F2F2F2"/>
          </w:tcPr>
          <w:p w:rsidR="00E719D9" w:rsidRDefault="001A2180">
            <w:pPr>
              <w:spacing w:before="20" w:after="20"/>
            </w:pPr>
            <w:r>
              <w:rPr>
                <w:sz w:val="20"/>
              </w:rPr>
              <w:t>focal (γ = 2,0) / 1,5</w:t>
            </w:r>
          </w:p>
        </w:tc>
      </w:tr>
      <w:tr w:rsidR="00E719D9">
        <w:trPr>
          <w:jc w:val="center"/>
        </w:trPr>
        <w:tc>
          <w:tcPr>
            <w:tcW w:w="3969" w:type="dxa"/>
          </w:tcPr>
          <w:p w:rsidR="00E719D9" w:rsidRDefault="001A2180">
            <w:pPr>
              <w:spacing w:before="20" w:after="20"/>
            </w:pPr>
            <w:r>
              <w:rPr>
                <w:sz w:val="20"/>
              </w:rPr>
              <w:lastRenderedPageBreak/>
              <w:t xml:space="preserve">mixup_alpha / </w:t>
            </w:r>
            <w:r>
              <w:rPr>
                <w:sz w:val="20"/>
              </w:rPr>
              <w:t>dropout</w:t>
            </w:r>
          </w:p>
        </w:tc>
        <w:tc>
          <w:tcPr>
            <w:tcW w:w="4535" w:type="dxa"/>
          </w:tcPr>
          <w:p w:rsidR="00E719D9" w:rsidRDefault="001A2180">
            <w:pPr>
              <w:spacing w:before="20" w:after="20"/>
            </w:pPr>
            <w:r>
              <w:rPr>
                <w:sz w:val="20"/>
              </w:rPr>
              <w:t>0,4 / 0,40 e 0,20</w:t>
            </w:r>
          </w:p>
        </w:tc>
      </w:tr>
      <w:tr w:rsidR="00E719D9">
        <w:trPr>
          <w:jc w:val="center"/>
        </w:trPr>
        <w:tc>
          <w:tcPr>
            <w:tcW w:w="3969" w:type="dxa"/>
            <w:shd w:val="clear" w:color="auto" w:fill="F2F2F2"/>
          </w:tcPr>
          <w:p w:rsidR="00E719D9" w:rsidRDefault="001A2180">
            <w:pPr>
              <w:spacing w:before="20" w:after="20"/>
            </w:pPr>
            <w:r>
              <w:rPr>
                <w:sz w:val="20"/>
              </w:rPr>
              <w:t>scheduler</w:t>
            </w:r>
          </w:p>
        </w:tc>
        <w:tc>
          <w:tcPr>
            <w:tcW w:w="4535" w:type="dxa"/>
            <w:shd w:val="clear" w:color="auto" w:fill="F2F2F2"/>
          </w:tcPr>
          <w:p w:rsidR="00E719D9" w:rsidRDefault="001A2180">
            <w:pPr>
              <w:spacing w:before="20" w:after="20"/>
            </w:pPr>
            <w:r>
              <w:rPr>
                <w:sz w:val="20"/>
              </w:rPr>
              <w:t>CosineAnnealingWarmRestarts (T_0=10, T_mult=2)</w:t>
            </w:r>
          </w:p>
        </w:tc>
      </w:tr>
      <w:tr w:rsidR="00E719D9">
        <w:trPr>
          <w:jc w:val="center"/>
        </w:trPr>
        <w:tc>
          <w:tcPr>
            <w:tcW w:w="3969" w:type="dxa"/>
          </w:tcPr>
          <w:p w:rsidR="00E719D9" w:rsidRDefault="001A2180">
            <w:pPr>
              <w:spacing w:before="20" w:after="20"/>
            </w:pPr>
            <w:r>
              <w:rPr>
                <w:sz w:val="20"/>
              </w:rPr>
              <w:t>temperature_scaling / bootstrap / seed</w:t>
            </w:r>
          </w:p>
        </w:tc>
        <w:tc>
          <w:tcPr>
            <w:tcW w:w="4535" w:type="dxa"/>
          </w:tcPr>
          <w:p w:rsidR="00E719D9" w:rsidRDefault="001A2180">
            <w:pPr>
              <w:spacing w:before="20" w:after="20"/>
            </w:pPr>
            <w:r>
              <w:rPr>
                <w:sz w:val="20"/>
              </w:rPr>
              <w:t>True / 500 / 42</w:t>
            </w:r>
          </w:p>
        </w:tc>
      </w:tr>
    </w:tbl>
    <w:p w:rsidR="00E719D9" w:rsidRDefault="00E719D9">
      <w:pPr>
        <w:spacing w:after="40"/>
      </w:pPr>
    </w:p>
    <w:p w:rsidR="00E719D9" w:rsidRDefault="001A2180">
      <w:pPr>
        <w:pStyle w:val="Ttulo2"/>
      </w:pPr>
      <w:r>
        <w:t>4.4 Inferência: TTA, calibração e limiar</w:t>
      </w:r>
    </w:p>
    <w:p w:rsidR="00E719D9" w:rsidRDefault="001A2180">
      <w:pPr>
        <w:jc w:val="both"/>
      </w:pPr>
      <w:r>
        <w:t>Na inferência, predict_loader() aplica aumento em tempo de teste com quat</w:t>
      </w:r>
      <w:r>
        <w:t>ro vistas geométricas (original, espelhamentos horizontal, vertical e duplo), cujas probabilidades são calculadas em média (Figura 6). As predições por imagem são agregadas por paciente (média), e optimize_threshold() seleciona o limiar que maximiza o F1 e</w:t>
      </w:r>
      <w:r>
        <w:t>ntre aqueles que garantem sensibilidade ≥ 0,80 — refletindo a prioridade clínica de minimizar falsos negativos. Após o treino, _calibrate_temperature() ajusta um escalar T por L-BFGS [16], suavizando probabilidades super-confiantes sem alterar o ranqueamen</w:t>
      </w:r>
      <w:r>
        <w:t>to; T é armazenado no checkpoint e aplicado em toda inferência.</w:t>
      </w:r>
    </w:p>
    <w:p w:rsidR="00E719D9" w:rsidRDefault="001A2180">
      <w:pPr>
        <w:spacing w:before="160"/>
        <w:jc w:val="center"/>
      </w:pPr>
      <w:r>
        <w:rPr>
          <w:noProof/>
          <w:lang w:val="pt-BR" w:eastAsia="pt-BR"/>
        </w:rPr>
        <w:drawing>
          <wp:inline distT="0" distB="0" distL="0" distR="0">
            <wp:extent cx="5580000" cy="17885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tta.png"/>
                    <pic:cNvPicPr/>
                  </pic:nvPicPr>
                  <pic:blipFill>
                    <a:blip r:embed="rId12"/>
                    <a:stretch>
                      <a:fillRect/>
                    </a:stretch>
                  </pic:blipFill>
                  <pic:spPr>
                    <a:xfrm>
                      <a:off x="0" y="0"/>
                      <a:ext cx="5580000" cy="1788544"/>
                    </a:xfrm>
                    <a:prstGeom prst="rect">
                      <a:avLst/>
                    </a:prstGeom>
                  </pic:spPr>
                </pic:pic>
              </a:graphicData>
            </a:graphic>
          </wp:inline>
        </w:drawing>
      </w:r>
    </w:p>
    <w:p w:rsidR="00E719D9" w:rsidRDefault="001A2180">
      <w:pPr>
        <w:spacing w:after="200"/>
        <w:jc w:val="center"/>
      </w:pPr>
      <w:r>
        <w:rPr>
          <w:b/>
          <w:sz w:val="20"/>
        </w:rPr>
        <w:t>Figura 6. Inferência: agregação de quatro vistas de TTA, calibração por temperatura e decisão por limiar com restrição de sensibilidade.</w:t>
      </w:r>
    </w:p>
    <w:p w:rsidR="00E719D9" w:rsidRDefault="001A2180">
      <w:pPr>
        <w:pStyle w:val="Ttulo2"/>
      </w:pPr>
      <w:r>
        <w:t>4.5 Interpretabilidade: Grad-CAM</w:t>
      </w:r>
    </w:p>
    <w:p w:rsidR="00E719D9" w:rsidRDefault="001A2180">
      <w:pPr>
        <w:jc w:val="both"/>
      </w:pPr>
      <w:r>
        <w:t xml:space="preserve">A explicabilidade </w:t>
      </w:r>
      <w:r>
        <w:t>visual é fornecida por Grad-CAM [17]: a classe GradCAM registra ganchos sobre a última camada convolucional do backbone e combina ativações ponderadas pelos gradientes da classe-alvo para produzir mapas de calor. A função generate_gradcam_exemplars() selec</w:t>
      </w:r>
      <w:r>
        <w:t>iona exemplares de cada quadrante da matriz de confusão (TP/TN/FP/FN), úteis para auditoria de erros, e generate_gradcam_dataset() estende a geração a todo o conjunto.</w:t>
      </w:r>
    </w:p>
    <w:p w:rsidR="00E719D9" w:rsidRDefault="001A2180">
      <w:pPr>
        <w:pStyle w:val="Ttulo2"/>
      </w:pPr>
      <w:r>
        <w:t>4.6 Organização orientada a objetos e modelagem UML</w:t>
      </w:r>
    </w:p>
    <w:p w:rsidR="00E719D9" w:rsidRDefault="001A2180">
      <w:pPr>
        <w:jc w:val="both"/>
      </w:pPr>
      <w:r>
        <w:t>Quatro classes concentram as respons</w:t>
      </w:r>
      <w:r>
        <w:t>abilidades de domínio (Tabela 6). A Figura 7 apresenta o diagrama de classes UML, e a Figura 8, o diagrama de dependências.</w:t>
      </w:r>
    </w:p>
    <w:p w:rsidR="00E719D9" w:rsidRDefault="001A2180">
      <w:pPr>
        <w:spacing w:before="160" w:after="60"/>
        <w:jc w:val="center"/>
      </w:pPr>
      <w:r>
        <w:rPr>
          <w:b/>
          <w:sz w:val="20"/>
        </w:rPr>
        <w:t>Tabela 6. Classes do Cervix Visual AI, superclasses e responsabilidades.</w:t>
      </w:r>
    </w:p>
    <w:tbl>
      <w:tblPr>
        <w:tblStyle w:val="Tabelacomgrade"/>
        <w:tblW w:w="0" w:type="auto"/>
        <w:jc w:val="center"/>
        <w:tblLook w:val="04A0"/>
      </w:tblPr>
      <w:tblGrid>
        <w:gridCol w:w="2041"/>
        <w:gridCol w:w="2268"/>
        <w:gridCol w:w="4195"/>
      </w:tblGrid>
      <w:tr w:rsidR="00E719D9">
        <w:trPr>
          <w:jc w:val="center"/>
        </w:trPr>
        <w:tc>
          <w:tcPr>
            <w:tcW w:w="2041" w:type="dxa"/>
            <w:shd w:val="clear" w:color="auto" w:fill="D9D9D9"/>
          </w:tcPr>
          <w:p w:rsidR="00E719D9" w:rsidRDefault="001A2180">
            <w:pPr>
              <w:spacing w:before="20" w:after="20"/>
            </w:pPr>
            <w:r>
              <w:rPr>
                <w:b/>
                <w:sz w:val="20"/>
              </w:rPr>
              <w:t>Classe</w:t>
            </w:r>
          </w:p>
        </w:tc>
        <w:tc>
          <w:tcPr>
            <w:tcW w:w="2268" w:type="dxa"/>
            <w:shd w:val="clear" w:color="auto" w:fill="D9D9D9"/>
          </w:tcPr>
          <w:p w:rsidR="00E719D9" w:rsidRDefault="001A2180">
            <w:pPr>
              <w:spacing w:before="20" w:after="20"/>
            </w:pPr>
            <w:r>
              <w:rPr>
                <w:b/>
                <w:sz w:val="20"/>
              </w:rPr>
              <w:t>Superclasse</w:t>
            </w:r>
          </w:p>
        </w:tc>
        <w:tc>
          <w:tcPr>
            <w:tcW w:w="4195" w:type="dxa"/>
            <w:shd w:val="clear" w:color="auto" w:fill="D9D9D9"/>
          </w:tcPr>
          <w:p w:rsidR="00E719D9" w:rsidRDefault="001A2180">
            <w:pPr>
              <w:spacing w:before="20" w:after="20"/>
            </w:pPr>
            <w:r>
              <w:rPr>
                <w:b/>
                <w:sz w:val="20"/>
              </w:rPr>
              <w:t>Responsabilidade</w:t>
            </w:r>
          </w:p>
        </w:tc>
      </w:tr>
      <w:tr w:rsidR="00E719D9">
        <w:trPr>
          <w:jc w:val="center"/>
        </w:trPr>
        <w:tc>
          <w:tcPr>
            <w:tcW w:w="2041" w:type="dxa"/>
          </w:tcPr>
          <w:p w:rsidR="00E719D9" w:rsidRDefault="001A2180">
            <w:pPr>
              <w:spacing w:before="20" w:after="20"/>
            </w:pPr>
            <w:r>
              <w:rPr>
                <w:sz w:val="20"/>
              </w:rPr>
              <w:t>CervixImageDataset</w:t>
            </w:r>
          </w:p>
        </w:tc>
        <w:tc>
          <w:tcPr>
            <w:tcW w:w="2268" w:type="dxa"/>
          </w:tcPr>
          <w:p w:rsidR="00E719D9" w:rsidRDefault="001A2180">
            <w:pPr>
              <w:spacing w:before="20" w:after="20"/>
            </w:pPr>
            <w:r>
              <w:rPr>
                <w:sz w:val="20"/>
              </w:rPr>
              <w:t>tor</w:t>
            </w:r>
            <w:r>
              <w:rPr>
                <w:sz w:val="20"/>
              </w:rPr>
              <w:t>ch.utils.data.Dataset</w:t>
            </w:r>
          </w:p>
        </w:tc>
        <w:tc>
          <w:tcPr>
            <w:tcW w:w="4195" w:type="dxa"/>
          </w:tcPr>
          <w:p w:rsidR="00E719D9" w:rsidRDefault="001A2180">
            <w:pPr>
              <w:spacing w:before="20" w:after="20"/>
            </w:pPr>
            <w:r>
              <w:rPr>
                <w:sz w:val="20"/>
              </w:rPr>
              <w:t>Carrega imagens, aplica transformações e valida o tensor (NaN/Inf).</w:t>
            </w:r>
          </w:p>
        </w:tc>
      </w:tr>
      <w:tr w:rsidR="00E719D9">
        <w:trPr>
          <w:jc w:val="center"/>
        </w:trPr>
        <w:tc>
          <w:tcPr>
            <w:tcW w:w="2041" w:type="dxa"/>
            <w:shd w:val="clear" w:color="auto" w:fill="F2F2F2"/>
          </w:tcPr>
          <w:p w:rsidR="00E719D9" w:rsidRDefault="001A2180">
            <w:pPr>
              <w:spacing w:before="20" w:after="20"/>
            </w:pPr>
            <w:r>
              <w:rPr>
                <w:sz w:val="20"/>
              </w:rPr>
              <w:t>FocalLoss</w:t>
            </w:r>
          </w:p>
        </w:tc>
        <w:tc>
          <w:tcPr>
            <w:tcW w:w="2268" w:type="dxa"/>
            <w:shd w:val="clear" w:color="auto" w:fill="F2F2F2"/>
          </w:tcPr>
          <w:p w:rsidR="00E719D9" w:rsidRDefault="001A2180">
            <w:pPr>
              <w:spacing w:before="20" w:after="20"/>
            </w:pPr>
            <w:r>
              <w:rPr>
                <w:sz w:val="20"/>
              </w:rPr>
              <w:t>torch.nn.Module</w:t>
            </w:r>
          </w:p>
        </w:tc>
        <w:tc>
          <w:tcPr>
            <w:tcW w:w="4195" w:type="dxa"/>
            <w:shd w:val="clear" w:color="auto" w:fill="F2F2F2"/>
          </w:tcPr>
          <w:p w:rsidR="00E719D9" w:rsidRDefault="001A2180">
            <w:pPr>
              <w:spacing w:before="20" w:after="20"/>
            </w:pPr>
            <w:r>
              <w:rPr>
                <w:sz w:val="20"/>
              </w:rPr>
              <w:t>Perda Focal com pos_weight; foca exemplos difíceis.</w:t>
            </w:r>
          </w:p>
        </w:tc>
      </w:tr>
      <w:tr w:rsidR="00E719D9">
        <w:trPr>
          <w:jc w:val="center"/>
        </w:trPr>
        <w:tc>
          <w:tcPr>
            <w:tcW w:w="2041" w:type="dxa"/>
          </w:tcPr>
          <w:p w:rsidR="00E719D9" w:rsidRDefault="001A2180">
            <w:pPr>
              <w:spacing w:before="20" w:after="20"/>
            </w:pPr>
            <w:r>
              <w:rPr>
                <w:sz w:val="20"/>
              </w:rPr>
              <w:t>LabelSmoothingBCE</w:t>
            </w:r>
          </w:p>
        </w:tc>
        <w:tc>
          <w:tcPr>
            <w:tcW w:w="2268" w:type="dxa"/>
          </w:tcPr>
          <w:p w:rsidR="00E719D9" w:rsidRDefault="001A2180">
            <w:pPr>
              <w:spacing w:before="20" w:after="20"/>
            </w:pPr>
            <w:r>
              <w:rPr>
                <w:sz w:val="20"/>
              </w:rPr>
              <w:t>torch.nn.Module</w:t>
            </w:r>
          </w:p>
        </w:tc>
        <w:tc>
          <w:tcPr>
            <w:tcW w:w="4195" w:type="dxa"/>
          </w:tcPr>
          <w:p w:rsidR="00E719D9" w:rsidRDefault="001A2180">
            <w:pPr>
              <w:spacing w:before="20" w:after="20"/>
            </w:pPr>
            <w:r>
              <w:rPr>
                <w:sz w:val="20"/>
              </w:rPr>
              <w:t>BCE com suavização de rótulos e pos_weight.</w:t>
            </w:r>
          </w:p>
        </w:tc>
      </w:tr>
      <w:tr w:rsidR="00E719D9">
        <w:trPr>
          <w:jc w:val="center"/>
        </w:trPr>
        <w:tc>
          <w:tcPr>
            <w:tcW w:w="2041" w:type="dxa"/>
            <w:shd w:val="clear" w:color="auto" w:fill="F2F2F2"/>
          </w:tcPr>
          <w:p w:rsidR="00E719D9" w:rsidRDefault="001A2180">
            <w:pPr>
              <w:spacing w:before="20" w:after="20"/>
            </w:pPr>
            <w:r>
              <w:rPr>
                <w:sz w:val="20"/>
              </w:rPr>
              <w:t>GradCAM</w:t>
            </w:r>
          </w:p>
        </w:tc>
        <w:tc>
          <w:tcPr>
            <w:tcW w:w="2268" w:type="dxa"/>
            <w:shd w:val="clear" w:color="auto" w:fill="F2F2F2"/>
          </w:tcPr>
          <w:p w:rsidR="00E719D9" w:rsidRDefault="001A2180">
            <w:pPr>
              <w:spacing w:before="20" w:after="20"/>
            </w:pPr>
            <w:r>
              <w:rPr>
                <w:sz w:val="20"/>
              </w:rPr>
              <w:t>— (autônoma)</w:t>
            </w:r>
          </w:p>
        </w:tc>
        <w:tc>
          <w:tcPr>
            <w:tcW w:w="4195" w:type="dxa"/>
            <w:shd w:val="clear" w:color="auto" w:fill="F2F2F2"/>
          </w:tcPr>
          <w:p w:rsidR="00E719D9" w:rsidRDefault="001A2180">
            <w:pPr>
              <w:spacing w:before="20" w:after="20"/>
            </w:pPr>
            <w:r>
              <w:rPr>
                <w:sz w:val="20"/>
              </w:rPr>
              <w:t xml:space="preserve">Registra ganchos e gera o mapa de ativação de </w:t>
            </w:r>
            <w:r>
              <w:rPr>
                <w:sz w:val="20"/>
              </w:rPr>
              <w:lastRenderedPageBreak/>
              <w:t>classe.</w:t>
            </w:r>
          </w:p>
        </w:tc>
      </w:tr>
    </w:tbl>
    <w:p w:rsidR="00E719D9" w:rsidRDefault="00E719D9">
      <w:pPr>
        <w:spacing w:after="40"/>
      </w:pPr>
    </w:p>
    <w:p w:rsidR="00E719D9" w:rsidRDefault="001A2180">
      <w:pPr>
        <w:jc w:val="both"/>
      </w:pPr>
      <w:r>
        <w:t xml:space="preserve">O diagrama de classes (Figura 7) evidencia três generalizações: FocalLoss e LabelSmoothingBCE especializam torch.nn.Module, sobrescrevendo forward(); e CervixImageDataset especializa </w:t>
      </w:r>
      <w:r>
        <w:t>torch.utils.data.Dataset, implementando __len__() e __getitem__(). A classe GradCAM não herda de nenhuma superclasse, mas mantém uma associação com um objeto Module (o modelo a ser explicado) — composição em vez de herança. Manifestam-se assim os três pila</w:t>
      </w:r>
      <w:r>
        <w:t>res da orientação a objetos: encapsulamento (o atributo privado _handles e os métodos _register_hooks()/remove_hooks() de GradCAM); herança (perdas e dataset reutilizando a infraestrutura do PyTorch); e polimorfismo (a variável criterion referenciando Foca</w:t>
      </w:r>
      <w:r>
        <w:t>lLoss ou LabelSmoothingBCE, ambas chamadas via forward()).</w:t>
      </w:r>
    </w:p>
    <w:p w:rsidR="00E719D9" w:rsidRDefault="001A2180">
      <w:pPr>
        <w:spacing w:before="160"/>
        <w:jc w:val="center"/>
      </w:pPr>
      <w:r>
        <w:rPr>
          <w:noProof/>
          <w:lang w:val="pt-BR" w:eastAsia="pt-BR"/>
        </w:rPr>
        <w:drawing>
          <wp:inline distT="0" distB="0" distL="0" distR="0">
            <wp:extent cx="5580000" cy="407975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uml_classes.png"/>
                    <pic:cNvPicPr/>
                  </pic:nvPicPr>
                  <pic:blipFill>
                    <a:blip r:embed="rId13"/>
                    <a:stretch>
                      <a:fillRect/>
                    </a:stretch>
                  </pic:blipFill>
                  <pic:spPr>
                    <a:xfrm>
                      <a:off x="0" y="0"/>
                      <a:ext cx="5580000" cy="4079753"/>
                    </a:xfrm>
                    <a:prstGeom prst="rect">
                      <a:avLst/>
                    </a:prstGeom>
                  </pic:spPr>
                </pic:pic>
              </a:graphicData>
            </a:graphic>
          </wp:inline>
        </w:drawing>
      </w:r>
    </w:p>
    <w:p w:rsidR="00E719D9" w:rsidRDefault="001A2180">
      <w:pPr>
        <w:spacing w:after="200"/>
        <w:jc w:val="center"/>
      </w:pPr>
      <w:r>
        <w:rPr>
          <w:b/>
          <w:sz w:val="20"/>
        </w:rPr>
        <w:t>Figura 7. Diagrama de classes UML: classes de domínio, superclasses do PyTorch e a associação entre GradCAM e o modelo.</w:t>
      </w:r>
    </w:p>
    <w:p w:rsidR="00E719D9" w:rsidRDefault="001A2180">
      <w:pPr>
        <w:jc w:val="both"/>
      </w:pPr>
      <w:r>
        <w:t>A Figura 8 mostra como a função orquestradora train_model() depende de buil</w:t>
      </w:r>
      <w:r>
        <w:t>d_model() (que instancia o modelo), de uma das funções de perda e de create_dataloaders() (que encapsula objetos CervixImageDataset). Essa separação favorece a manutenibilidade: novas perdas, backbones ou técnicas de interpretabilidade podem ser adicionado</w:t>
      </w:r>
      <w:r>
        <w:t>s sem alterar o laço de treinamento.</w:t>
      </w:r>
    </w:p>
    <w:p w:rsidR="00E719D9" w:rsidRDefault="001A2180">
      <w:pPr>
        <w:spacing w:before="160"/>
        <w:jc w:val="center"/>
      </w:pPr>
      <w:r>
        <w:rPr>
          <w:noProof/>
          <w:lang w:val="pt-BR" w:eastAsia="pt-BR"/>
        </w:rPr>
        <w:lastRenderedPageBreak/>
        <w:drawing>
          <wp:inline distT="0" distB="0" distL="0" distR="0">
            <wp:extent cx="5580000" cy="35171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uml_collab.png"/>
                    <pic:cNvPicPr/>
                  </pic:nvPicPr>
                  <pic:blipFill>
                    <a:blip r:embed="rId14"/>
                    <a:stretch>
                      <a:fillRect/>
                    </a:stretch>
                  </pic:blipFill>
                  <pic:spPr>
                    <a:xfrm>
                      <a:off x="0" y="0"/>
                      <a:ext cx="5580000" cy="3517160"/>
                    </a:xfrm>
                    <a:prstGeom prst="rect">
                      <a:avLst/>
                    </a:prstGeom>
                  </pic:spPr>
                </pic:pic>
              </a:graphicData>
            </a:graphic>
          </wp:inline>
        </w:drawing>
      </w:r>
    </w:p>
    <w:p w:rsidR="00E719D9" w:rsidRDefault="001A2180">
      <w:pPr>
        <w:spacing w:after="200"/>
        <w:jc w:val="center"/>
      </w:pPr>
      <w:r>
        <w:rPr>
          <w:b/>
          <w:sz w:val="20"/>
        </w:rPr>
        <w:t>Figura 8. Diagrama UML de dependências: train_model() orquestra fábricas, critério de perda, conjunto de dados e explicabilidade.</w:t>
      </w:r>
    </w:p>
    <w:p w:rsidR="00E719D9" w:rsidRDefault="001A2180">
      <w:pPr>
        <w:pStyle w:val="Ttulo2"/>
      </w:pPr>
      <w:r>
        <w:t>4.7 Interface de linha de comando</w:t>
      </w:r>
    </w:p>
    <w:p w:rsidR="00E719D9" w:rsidRDefault="001A2180">
      <w:pPr>
        <w:jc w:val="both"/>
      </w:pPr>
      <w:r>
        <w:t>O script expõe seis subcomandos (Tabela 7); sem argum</w:t>
      </w:r>
      <w:r>
        <w:t>entos, assume train.</w:t>
      </w:r>
    </w:p>
    <w:p w:rsidR="00E719D9" w:rsidRDefault="001A2180">
      <w:pPr>
        <w:spacing w:before="160" w:after="60"/>
        <w:jc w:val="center"/>
      </w:pPr>
      <w:r>
        <w:rPr>
          <w:b/>
          <w:sz w:val="20"/>
        </w:rPr>
        <w:t>Tabela 7. Subcomandos da interface de linha de comando.</w:t>
      </w:r>
    </w:p>
    <w:tbl>
      <w:tblPr>
        <w:tblStyle w:val="Tabelacomgrade"/>
        <w:tblW w:w="0" w:type="auto"/>
        <w:jc w:val="center"/>
        <w:tblLook w:val="04A0"/>
      </w:tblPr>
      <w:tblGrid>
        <w:gridCol w:w="1474"/>
        <w:gridCol w:w="7030"/>
      </w:tblGrid>
      <w:tr w:rsidR="00E719D9">
        <w:trPr>
          <w:jc w:val="center"/>
        </w:trPr>
        <w:tc>
          <w:tcPr>
            <w:tcW w:w="1474" w:type="dxa"/>
            <w:shd w:val="clear" w:color="auto" w:fill="D9D9D9"/>
          </w:tcPr>
          <w:p w:rsidR="00E719D9" w:rsidRDefault="001A2180">
            <w:pPr>
              <w:spacing w:before="20" w:after="20"/>
            </w:pPr>
            <w:r>
              <w:rPr>
                <w:b/>
                <w:sz w:val="20"/>
              </w:rPr>
              <w:t>Comando</w:t>
            </w:r>
          </w:p>
        </w:tc>
        <w:tc>
          <w:tcPr>
            <w:tcW w:w="7030" w:type="dxa"/>
            <w:shd w:val="clear" w:color="auto" w:fill="D9D9D9"/>
          </w:tcPr>
          <w:p w:rsidR="00E719D9" w:rsidRDefault="001A2180">
            <w:pPr>
              <w:spacing w:before="20" w:after="20"/>
            </w:pPr>
            <w:r>
              <w:rPr>
                <w:b/>
                <w:sz w:val="20"/>
              </w:rPr>
              <w:t>Função</w:t>
            </w:r>
          </w:p>
        </w:tc>
      </w:tr>
      <w:tr w:rsidR="00E719D9">
        <w:trPr>
          <w:jc w:val="center"/>
        </w:trPr>
        <w:tc>
          <w:tcPr>
            <w:tcW w:w="1474" w:type="dxa"/>
          </w:tcPr>
          <w:p w:rsidR="00E719D9" w:rsidRDefault="001A2180">
            <w:pPr>
              <w:spacing w:before="20" w:after="20"/>
            </w:pPr>
            <w:r>
              <w:rPr>
                <w:sz w:val="20"/>
              </w:rPr>
              <w:t>prepare</w:t>
            </w:r>
          </w:p>
        </w:tc>
        <w:tc>
          <w:tcPr>
            <w:tcW w:w="7030" w:type="dxa"/>
          </w:tcPr>
          <w:p w:rsidR="00E719D9" w:rsidRDefault="001A2180">
            <w:pPr>
              <w:spacing w:before="20" w:after="20"/>
            </w:pPr>
            <w:r>
              <w:rPr>
                <w:sz w:val="20"/>
              </w:rPr>
              <w:t>Extrai o ZIP da IARC e gera os manifestos.</w:t>
            </w:r>
          </w:p>
        </w:tc>
      </w:tr>
      <w:tr w:rsidR="00E719D9">
        <w:trPr>
          <w:jc w:val="center"/>
        </w:trPr>
        <w:tc>
          <w:tcPr>
            <w:tcW w:w="1474" w:type="dxa"/>
            <w:shd w:val="clear" w:color="auto" w:fill="F2F2F2"/>
          </w:tcPr>
          <w:p w:rsidR="00E719D9" w:rsidRDefault="001A2180">
            <w:pPr>
              <w:spacing w:before="20" w:after="20"/>
            </w:pPr>
            <w:r>
              <w:rPr>
                <w:sz w:val="20"/>
              </w:rPr>
              <w:t>demo</w:t>
            </w:r>
          </w:p>
        </w:tc>
        <w:tc>
          <w:tcPr>
            <w:tcW w:w="7030" w:type="dxa"/>
            <w:shd w:val="clear" w:color="auto" w:fill="F2F2F2"/>
          </w:tcPr>
          <w:p w:rsidR="00E719D9" w:rsidRDefault="001A2180">
            <w:pPr>
              <w:spacing w:before="20" w:after="20"/>
            </w:pPr>
            <w:r>
              <w:rPr>
                <w:sz w:val="20"/>
              </w:rPr>
              <w:t>prepare seguido de treino com hiperparâmetros fixos.</w:t>
            </w:r>
          </w:p>
        </w:tc>
      </w:tr>
      <w:tr w:rsidR="00E719D9">
        <w:trPr>
          <w:jc w:val="center"/>
        </w:trPr>
        <w:tc>
          <w:tcPr>
            <w:tcW w:w="1474" w:type="dxa"/>
          </w:tcPr>
          <w:p w:rsidR="00E719D9" w:rsidRDefault="001A2180">
            <w:pPr>
              <w:spacing w:before="20" w:after="20"/>
            </w:pPr>
            <w:r>
              <w:rPr>
                <w:sz w:val="20"/>
              </w:rPr>
              <w:t>train</w:t>
            </w:r>
          </w:p>
        </w:tc>
        <w:tc>
          <w:tcPr>
            <w:tcW w:w="7030" w:type="dxa"/>
          </w:tcPr>
          <w:p w:rsidR="00E719D9" w:rsidRDefault="001A2180">
            <w:pPr>
              <w:spacing w:before="20" w:after="20"/>
            </w:pPr>
            <w:r>
              <w:rPr>
                <w:sz w:val="20"/>
              </w:rPr>
              <w:t xml:space="preserve">Treino configurável (arquitetura, perda, </w:t>
            </w:r>
            <w:r>
              <w:rPr>
                <w:sz w:val="20"/>
              </w:rPr>
              <w:t>limiar, temperatura etc.).</w:t>
            </w:r>
          </w:p>
        </w:tc>
      </w:tr>
      <w:tr w:rsidR="00E719D9">
        <w:trPr>
          <w:jc w:val="center"/>
        </w:trPr>
        <w:tc>
          <w:tcPr>
            <w:tcW w:w="1474" w:type="dxa"/>
            <w:shd w:val="clear" w:color="auto" w:fill="F2F2F2"/>
          </w:tcPr>
          <w:p w:rsidR="00E719D9" w:rsidRDefault="001A2180">
            <w:pPr>
              <w:spacing w:before="20" w:after="20"/>
            </w:pPr>
            <w:r>
              <w:rPr>
                <w:sz w:val="20"/>
              </w:rPr>
              <w:t>evaluate</w:t>
            </w:r>
          </w:p>
        </w:tc>
        <w:tc>
          <w:tcPr>
            <w:tcW w:w="7030" w:type="dxa"/>
            <w:shd w:val="clear" w:color="auto" w:fill="F2F2F2"/>
          </w:tcPr>
          <w:p w:rsidR="00E719D9" w:rsidRDefault="001A2180">
            <w:pPr>
              <w:spacing w:before="20" w:after="20"/>
            </w:pPr>
            <w:r>
              <w:rPr>
                <w:sz w:val="20"/>
              </w:rPr>
              <w:t>Reexecuta a avaliação (com TTA e temperatura) sobre um checkpoint.</w:t>
            </w:r>
          </w:p>
        </w:tc>
      </w:tr>
      <w:tr w:rsidR="00E719D9">
        <w:trPr>
          <w:jc w:val="center"/>
        </w:trPr>
        <w:tc>
          <w:tcPr>
            <w:tcW w:w="1474" w:type="dxa"/>
          </w:tcPr>
          <w:p w:rsidR="00E719D9" w:rsidRDefault="001A2180">
            <w:pPr>
              <w:spacing w:before="20" w:after="20"/>
            </w:pPr>
            <w:r>
              <w:rPr>
                <w:sz w:val="20"/>
              </w:rPr>
              <w:t>predict</w:t>
            </w:r>
          </w:p>
        </w:tc>
        <w:tc>
          <w:tcPr>
            <w:tcW w:w="7030" w:type="dxa"/>
          </w:tcPr>
          <w:p w:rsidR="00E719D9" w:rsidRDefault="001A2180">
            <w:pPr>
              <w:spacing w:before="20" w:after="20"/>
            </w:pPr>
            <w:r>
              <w:rPr>
                <w:sz w:val="20"/>
              </w:rPr>
              <w:t>Inferência em imagem única, com probabilidade calibrada e rótulo.</w:t>
            </w:r>
          </w:p>
        </w:tc>
      </w:tr>
      <w:tr w:rsidR="00E719D9">
        <w:trPr>
          <w:jc w:val="center"/>
        </w:trPr>
        <w:tc>
          <w:tcPr>
            <w:tcW w:w="1474" w:type="dxa"/>
            <w:shd w:val="clear" w:color="auto" w:fill="F2F2F2"/>
          </w:tcPr>
          <w:p w:rsidR="00E719D9" w:rsidRDefault="001A2180">
            <w:pPr>
              <w:spacing w:before="20" w:after="20"/>
            </w:pPr>
            <w:r>
              <w:rPr>
                <w:sz w:val="20"/>
              </w:rPr>
              <w:t>show</w:t>
            </w:r>
          </w:p>
        </w:tc>
        <w:tc>
          <w:tcPr>
            <w:tcW w:w="7030" w:type="dxa"/>
            <w:shd w:val="clear" w:color="auto" w:fill="F2F2F2"/>
          </w:tcPr>
          <w:p w:rsidR="00E719D9" w:rsidRDefault="001A2180">
            <w:pPr>
              <w:spacing w:before="20" w:after="20"/>
            </w:pPr>
            <w:r>
              <w:rPr>
                <w:sz w:val="20"/>
              </w:rPr>
              <w:t>Exibe imagens ou mapas Grad-CAM no terminal.</w:t>
            </w:r>
          </w:p>
        </w:tc>
      </w:tr>
    </w:tbl>
    <w:p w:rsidR="00E719D9" w:rsidRDefault="00E719D9">
      <w:pPr>
        <w:spacing w:after="40"/>
      </w:pPr>
    </w:p>
    <w:p w:rsidR="00E719D9" w:rsidRDefault="001A2180">
      <w:pPr>
        <w:pStyle w:val="Ttulo1"/>
      </w:pPr>
      <w:r>
        <w:t>5. Avaliação</w:t>
      </w:r>
    </w:p>
    <w:p w:rsidR="00E719D9" w:rsidRDefault="001A2180">
      <w:pPr>
        <w:pStyle w:val="Ttulo2"/>
      </w:pPr>
      <w:r>
        <w:t xml:space="preserve">5.1 </w:t>
      </w:r>
      <w:r>
        <w:t>Protocolo e métricas</w:t>
      </w:r>
    </w:p>
    <w:p w:rsidR="00E719D9" w:rsidRDefault="001A2180">
      <w:pPr>
        <w:jc w:val="both"/>
      </w:pPr>
      <w:r>
        <w:t>A avaliação é reportada no nível do caso. A função binary_metrics() calcula acurácia, acurácia balanceada, sensibilidade, especificidade, precisão (PPV), valor preditivo negativo, F1 e escore de Brier; quando ambas as classes estão pre</w:t>
      </w:r>
      <w:r>
        <w:t>sentes, calcula também AUC-ROC e precisão média. A seleção do melhor modelo a cada época usa um escore composto (0,5 × AUC-ROC + 0,3 × F1 + 0,2 × acurácia balanceada), equilibrando discriminação e desempenho operacional. A função bootstrap_confidence_inter</w:t>
      </w:r>
      <w:r>
        <w:t xml:space="preserve">vals() realiza 500 reamostragens com reposição por caso, </w:t>
      </w:r>
      <w:r>
        <w:lastRenderedPageBreak/>
        <w:t>reportando os percentis 2,5 e 97,5 de cada métrica como intervalo de confiança aproximado de 95% — adequado às amostras reduzidas de estudos de centro único.</w:t>
      </w:r>
    </w:p>
    <w:p w:rsidR="00E719D9" w:rsidRDefault="001A2180">
      <w:pPr>
        <w:pStyle w:val="Ttulo2"/>
      </w:pPr>
      <w:r>
        <w:t>5.2 Artefatos produzidos</w:t>
      </w:r>
    </w:p>
    <w:p w:rsidR="00E719D9" w:rsidRDefault="001A2180">
      <w:pPr>
        <w:jc w:val="both"/>
      </w:pPr>
      <w:r>
        <w:t>Uma execução com</w:t>
      </w:r>
      <w:r>
        <w:t>pleta do subcomando train produz o conjunto de artefatos da Tabela 8, incluindo o checkpoint autossuficiente (com limiar e temperatura), os relatórios em JSON, as predições por caso em CSV, os gráficos e os painéis Grad-CAM.</w:t>
      </w:r>
    </w:p>
    <w:p w:rsidR="00E719D9" w:rsidRDefault="001A2180">
      <w:pPr>
        <w:spacing w:before="160" w:after="60"/>
        <w:jc w:val="center"/>
      </w:pPr>
      <w:r>
        <w:rPr>
          <w:b/>
          <w:sz w:val="20"/>
        </w:rPr>
        <w:t xml:space="preserve">Tabela 8. Artefatos produzidos </w:t>
      </w:r>
      <w:r>
        <w:rPr>
          <w:b/>
          <w:sz w:val="20"/>
        </w:rPr>
        <w:t>por uma execução completa de train.</w:t>
      </w:r>
    </w:p>
    <w:tbl>
      <w:tblPr>
        <w:tblStyle w:val="Tabelacomgrade"/>
        <w:tblW w:w="0" w:type="auto"/>
        <w:jc w:val="center"/>
        <w:tblLook w:val="04A0"/>
      </w:tblPr>
      <w:tblGrid>
        <w:gridCol w:w="2835"/>
        <w:gridCol w:w="5669"/>
      </w:tblGrid>
      <w:tr w:rsidR="00E719D9">
        <w:trPr>
          <w:jc w:val="center"/>
        </w:trPr>
        <w:tc>
          <w:tcPr>
            <w:tcW w:w="2835" w:type="dxa"/>
            <w:shd w:val="clear" w:color="auto" w:fill="D9D9D9"/>
          </w:tcPr>
          <w:p w:rsidR="00E719D9" w:rsidRDefault="001A2180">
            <w:pPr>
              <w:spacing w:before="20" w:after="20"/>
            </w:pPr>
            <w:r>
              <w:rPr>
                <w:b/>
                <w:sz w:val="20"/>
              </w:rPr>
              <w:t>Artefato</w:t>
            </w:r>
          </w:p>
        </w:tc>
        <w:tc>
          <w:tcPr>
            <w:tcW w:w="5669" w:type="dxa"/>
            <w:shd w:val="clear" w:color="auto" w:fill="D9D9D9"/>
          </w:tcPr>
          <w:p w:rsidR="00E719D9" w:rsidRDefault="001A2180">
            <w:pPr>
              <w:spacing w:before="20" w:after="20"/>
            </w:pPr>
            <w:r>
              <w:rPr>
                <w:b/>
                <w:sz w:val="20"/>
              </w:rPr>
              <w:t>Conteúdo</w:t>
            </w:r>
          </w:p>
        </w:tc>
      </w:tr>
      <w:tr w:rsidR="00E719D9">
        <w:trPr>
          <w:jc w:val="center"/>
        </w:trPr>
        <w:tc>
          <w:tcPr>
            <w:tcW w:w="2835" w:type="dxa"/>
          </w:tcPr>
          <w:p w:rsidR="00E719D9" w:rsidRDefault="001A2180">
            <w:pPr>
              <w:spacing w:before="20" w:after="20"/>
            </w:pPr>
            <w:r>
              <w:rPr>
                <w:sz w:val="20"/>
              </w:rPr>
              <w:t>best_model.pt</w:t>
            </w:r>
          </w:p>
        </w:tc>
        <w:tc>
          <w:tcPr>
            <w:tcW w:w="5669" w:type="dxa"/>
          </w:tcPr>
          <w:p w:rsidR="00E719D9" w:rsidRDefault="001A2180">
            <w:pPr>
              <w:spacing w:before="20" w:after="20"/>
            </w:pPr>
            <w:r>
              <w:rPr>
                <w:sz w:val="20"/>
              </w:rPr>
              <w:t>Pesos, arquitetura, dropout, image_size, limiar e temperatura.</w:t>
            </w:r>
          </w:p>
        </w:tc>
      </w:tr>
      <w:tr w:rsidR="00E719D9">
        <w:trPr>
          <w:jc w:val="center"/>
        </w:trPr>
        <w:tc>
          <w:tcPr>
            <w:tcW w:w="2835" w:type="dxa"/>
            <w:shd w:val="clear" w:color="auto" w:fill="F2F2F2"/>
          </w:tcPr>
          <w:p w:rsidR="00E719D9" w:rsidRDefault="001A2180">
            <w:pPr>
              <w:spacing w:before="20" w:after="20"/>
            </w:pPr>
            <w:r>
              <w:rPr>
                <w:sz w:val="20"/>
              </w:rPr>
              <w:t>training_history.json</w:t>
            </w:r>
          </w:p>
        </w:tc>
        <w:tc>
          <w:tcPr>
            <w:tcW w:w="5669" w:type="dxa"/>
            <w:shd w:val="clear" w:color="auto" w:fill="F2F2F2"/>
          </w:tcPr>
          <w:p w:rsidR="00E719D9" w:rsidRDefault="001A2180">
            <w:pPr>
              <w:spacing w:before="20" w:after="20"/>
            </w:pPr>
            <w:r>
              <w:rPr>
                <w:sz w:val="20"/>
              </w:rPr>
              <w:t>Métricas de treino/validação e limiar por época.</w:t>
            </w:r>
          </w:p>
        </w:tc>
      </w:tr>
      <w:tr w:rsidR="00E719D9">
        <w:trPr>
          <w:jc w:val="center"/>
        </w:trPr>
        <w:tc>
          <w:tcPr>
            <w:tcW w:w="2835" w:type="dxa"/>
          </w:tcPr>
          <w:p w:rsidR="00E719D9" w:rsidRDefault="001A2180">
            <w:pPr>
              <w:spacing w:before="20" w:after="20"/>
            </w:pPr>
            <w:r>
              <w:rPr>
                <w:sz w:val="20"/>
              </w:rPr>
              <w:t>training_summary.json</w:t>
            </w:r>
          </w:p>
        </w:tc>
        <w:tc>
          <w:tcPr>
            <w:tcW w:w="5669" w:type="dxa"/>
          </w:tcPr>
          <w:p w:rsidR="00E719D9" w:rsidRDefault="001A2180">
            <w:pPr>
              <w:spacing w:before="20" w:after="20"/>
            </w:pPr>
            <w:r>
              <w:rPr>
                <w:sz w:val="20"/>
              </w:rPr>
              <w:t xml:space="preserve">Resumo: dispositivo, tempo, </w:t>
            </w:r>
            <w:r>
              <w:rPr>
                <w:sz w:val="20"/>
              </w:rPr>
              <w:t>peso positivo, melhor época.</w:t>
            </w:r>
          </w:p>
        </w:tc>
      </w:tr>
      <w:tr w:rsidR="00E719D9">
        <w:trPr>
          <w:jc w:val="center"/>
        </w:trPr>
        <w:tc>
          <w:tcPr>
            <w:tcW w:w="2835" w:type="dxa"/>
            <w:shd w:val="clear" w:color="auto" w:fill="F2F2F2"/>
          </w:tcPr>
          <w:p w:rsidR="00E719D9" w:rsidRDefault="001A2180">
            <w:pPr>
              <w:spacing w:before="20" w:after="20"/>
            </w:pPr>
            <w:r>
              <w:rPr>
                <w:sz w:val="20"/>
              </w:rPr>
              <w:t>evaluation_metrics.json</w:t>
            </w:r>
          </w:p>
        </w:tc>
        <w:tc>
          <w:tcPr>
            <w:tcW w:w="5669" w:type="dxa"/>
            <w:shd w:val="clear" w:color="auto" w:fill="F2F2F2"/>
          </w:tcPr>
          <w:p w:rsidR="00E719D9" w:rsidRDefault="001A2180">
            <w:pPr>
              <w:spacing w:before="20" w:after="20"/>
            </w:pPr>
            <w:r>
              <w:rPr>
                <w:sz w:val="20"/>
              </w:rPr>
              <w:t>Métricas por divisão (imagem e caso) com IC bootstrap.</w:t>
            </w:r>
          </w:p>
        </w:tc>
      </w:tr>
      <w:tr w:rsidR="00E719D9">
        <w:trPr>
          <w:jc w:val="center"/>
        </w:trPr>
        <w:tc>
          <w:tcPr>
            <w:tcW w:w="2835" w:type="dxa"/>
          </w:tcPr>
          <w:p w:rsidR="00E719D9" w:rsidRDefault="001A2180">
            <w:pPr>
              <w:spacing w:before="20" w:after="20"/>
            </w:pPr>
            <w:r>
              <w:rPr>
                <w:sz w:val="20"/>
              </w:rPr>
              <w:t>{split}_case_predictions.csv</w:t>
            </w:r>
          </w:p>
        </w:tc>
        <w:tc>
          <w:tcPr>
            <w:tcW w:w="5669" w:type="dxa"/>
          </w:tcPr>
          <w:p w:rsidR="00E719D9" w:rsidRDefault="001A2180">
            <w:pPr>
              <w:spacing w:before="20" w:after="20"/>
            </w:pPr>
            <w:r>
              <w:rPr>
                <w:sz w:val="20"/>
              </w:rPr>
              <w:t>Probabilidade e predição por caso, por divisão.</w:t>
            </w:r>
          </w:p>
        </w:tc>
      </w:tr>
      <w:tr w:rsidR="00E719D9">
        <w:trPr>
          <w:jc w:val="center"/>
        </w:trPr>
        <w:tc>
          <w:tcPr>
            <w:tcW w:w="2835" w:type="dxa"/>
            <w:shd w:val="clear" w:color="auto" w:fill="F2F2F2"/>
          </w:tcPr>
          <w:p w:rsidR="00E719D9" w:rsidRDefault="001A2180">
            <w:pPr>
              <w:spacing w:before="20" w:after="20"/>
            </w:pPr>
            <w:r>
              <w:rPr>
                <w:sz w:val="20"/>
              </w:rPr>
              <w:t>Gráficos (PNG/HTML)</w:t>
            </w:r>
          </w:p>
        </w:tc>
        <w:tc>
          <w:tcPr>
            <w:tcW w:w="5669" w:type="dxa"/>
            <w:shd w:val="clear" w:color="auto" w:fill="F2F2F2"/>
          </w:tcPr>
          <w:p w:rsidR="00E719D9" w:rsidRDefault="001A2180">
            <w:pPr>
              <w:spacing w:before="20" w:after="20"/>
            </w:pPr>
            <w:r>
              <w:rPr>
                <w:sz w:val="20"/>
              </w:rPr>
              <w:t>Perda, ROC, precisão-revocação, matriz de confus</w:t>
            </w:r>
            <w:r>
              <w:rPr>
                <w:sz w:val="20"/>
              </w:rPr>
              <w:t>ão, painel.</w:t>
            </w:r>
          </w:p>
        </w:tc>
      </w:tr>
      <w:tr w:rsidR="00E719D9">
        <w:trPr>
          <w:jc w:val="center"/>
        </w:trPr>
        <w:tc>
          <w:tcPr>
            <w:tcW w:w="2835" w:type="dxa"/>
          </w:tcPr>
          <w:p w:rsidR="00E719D9" w:rsidRDefault="001A2180">
            <w:pPr>
              <w:spacing w:before="20" w:after="20"/>
            </w:pPr>
            <w:r>
              <w:rPr>
                <w:sz w:val="20"/>
              </w:rPr>
              <w:t>Painéis Grad-CAM</w:t>
            </w:r>
          </w:p>
        </w:tc>
        <w:tc>
          <w:tcPr>
            <w:tcW w:w="5669" w:type="dxa"/>
          </w:tcPr>
          <w:p w:rsidR="00E719D9" w:rsidRDefault="001A2180">
            <w:pPr>
              <w:spacing w:before="20" w:after="20"/>
            </w:pPr>
            <w:r>
              <w:rPr>
                <w:sz w:val="20"/>
              </w:rPr>
              <w:t>Exemplares TP/TN/FP/FN e mapas do conjunto completo.</w:t>
            </w:r>
          </w:p>
        </w:tc>
      </w:tr>
    </w:tbl>
    <w:p w:rsidR="00E719D9" w:rsidRDefault="00E719D9">
      <w:pPr>
        <w:spacing w:after="40"/>
      </w:pPr>
    </w:p>
    <w:p w:rsidR="00E719D9" w:rsidRDefault="001A2180">
      <w:pPr>
        <w:pStyle w:val="Ttulo2"/>
      </w:pPr>
      <w:r>
        <w:t>5.3 Evolução do pipeline</w:t>
      </w:r>
    </w:p>
    <w:p w:rsidR="00E719D9" w:rsidRDefault="001A2180">
      <w:pPr>
        <w:jc w:val="both"/>
      </w:pPr>
      <w:r>
        <w:t xml:space="preserve">A Tabela 9 sintetiza a evolução entre a versão inicial (ResNet-34) e a versão atual (EfficientNet-B3), evidenciando tanto correções de defeitos </w:t>
      </w:r>
      <w:r>
        <w:t>quanto a incorporação de novas técnicas — o resultado direto da metodologia iterativa descrita na Seção 3.3.</w:t>
      </w:r>
    </w:p>
    <w:p w:rsidR="00E719D9" w:rsidRDefault="001A2180">
      <w:pPr>
        <w:spacing w:before="160" w:after="60"/>
        <w:jc w:val="center"/>
      </w:pPr>
      <w:r>
        <w:rPr>
          <w:b/>
          <w:sz w:val="20"/>
        </w:rPr>
        <w:t>Tabela 9. Evolução do pipeline entre as iterações de desenvolvimento.</w:t>
      </w:r>
    </w:p>
    <w:tbl>
      <w:tblPr>
        <w:tblStyle w:val="Tabelacomgrade"/>
        <w:tblW w:w="0" w:type="auto"/>
        <w:jc w:val="center"/>
        <w:tblLook w:val="04A0"/>
      </w:tblPr>
      <w:tblGrid>
        <w:gridCol w:w="1701"/>
        <w:gridCol w:w="3402"/>
        <w:gridCol w:w="3402"/>
      </w:tblGrid>
      <w:tr w:rsidR="00E719D9">
        <w:trPr>
          <w:jc w:val="center"/>
        </w:trPr>
        <w:tc>
          <w:tcPr>
            <w:tcW w:w="1701" w:type="dxa"/>
            <w:shd w:val="clear" w:color="auto" w:fill="D9D9D9"/>
          </w:tcPr>
          <w:p w:rsidR="00E719D9" w:rsidRDefault="001A2180">
            <w:pPr>
              <w:spacing w:before="20" w:after="20"/>
            </w:pPr>
            <w:r>
              <w:rPr>
                <w:b/>
                <w:sz w:val="18"/>
              </w:rPr>
              <w:t>Aspecto</w:t>
            </w:r>
          </w:p>
        </w:tc>
        <w:tc>
          <w:tcPr>
            <w:tcW w:w="3402" w:type="dxa"/>
            <w:shd w:val="clear" w:color="auto" w:fill="D9D9D9"/>
          </w:tcPr>
          <w:p w:rsidR="00E719D9" w:rsidRDefault="001A2180">
            <w:pPr>
              <w:spacing w:before="20" w:after="20"/>
            </w:pPr>
            <w:r>
              <w:rPr>
                <w:b/>
                <w:sz w:val="18"/>
              </w:rPr>
              <w:t>Versão inicial (ResNet-34)</w:t>
            </w:r>
          </w:p>
        </w:tc>
        <w:tc>
          <w:tcPr>
            <w:tcW w:w="3402" w:type="dxa"/>
            <w:shd w:val="clear" w:color="auto" w:fill="D9D9D9"/>
          </w:tcPr>
          <w:p w:rsidR="00E719D9" w:rsidRDefault="001A2180">
            <w:pPr>
              <w:spacing w:before="20" w:after="20"/>
            </w:pPr>
            <w:r>
              <w:rPr>
                <w:b/>
                <w:sz w:val="18"/>
              </w:rPr>
              <w:t>Versão atual (EfficientNet-B3)</w:t>
            </w:r>
          </w:p>
        </w:tc>
      </w:tr>
      <w:tr w:rsidR="00E719D9">
        <w:trPr>
          <w:jc w:val="center"/>
        </w:trPr>
        <w:tc>
          <w:tcPr>
            <w:tcW w:w="1701" w:type="dxa"/>
          </w:tcPr>
          <w:p w:rsidR="00E719D9" w:rsidRDefault="001A2180">
            <w:pPr>
              <w:spacing w:before="20" w:after="20"/>
            </w:pPr>
            <w:r>
              <w:rPr>
                <w:sz w:val="18"/>
              </w:rPr>
              <w:t>Backbone</w:t>
            </w:r>
          </w:p>
        </w:tc>
        <w:tc>
          <w:tcPr>
            <w:tcW w:w="3402" w:type="dxa"/>
          </w:tcPr>
          <w:p w:rsidR="00E719D9" w:rsidRDefault="001A2180">
            <w:pPr>
              <w:spacing w:before="20" w:after="20"/>
            </w:pPr>
            <w:r>
              <w:rPr>
                <w:sz w:val="18"/>
              </w:rPr>
              <w:t>A</w:t>
            </w:r>
            <w:r>
              <w:rPr>
                <w:sz w:val="18"/>
              </w:rPr>
              <w:t>penas ResNet-34 (EfficientNet não construído)</w:t>
            </w:r>
          </w:p>
        </w:tc>
        <w:tc>
          <w:tcPr>
            <w:tcW w:w="3402" w:type="dxa"/>
          </w:tcPr>
          <w:p w:rsidR="00E719D9" w:rsidRDefault="001A2180">
            <w:pPr>
              <w:spacing w:before="20" w:after="20"/>
            </w:pPr>
            <w:r>
              <w:rPr>
                <w:sz w:val="18"/>
              </w:rPr>
              <w:t>EfficientNet-B3/B4, ResNet-34, ConvNeXt-Tiny</w:t>
            </w:r>
          </w:p>
        </w:tc>
      </w:tr>
      <w:tr w:rsidR="00E719D9">
        <w:trPr>
          <w:jc w:val="center"/>
        </w:trPr>
        <w:tc>
          <w:tcPr>
            <w:tcW w:w="1701" w:type="dxa"/>
            <w:shd w:val="clear" w:color="auto" w:fill="F2F2F2"/>
          </w:tcPr>
          <w:p w:rsidR="00E719D9" w:rsidRDefault="001A2180">
            <w:pPr>
              <w:spacing w:before="20" w:after="20"/>
            </w:pPr>
            <w:r>
              <w:rPr>
                <w:sz w:val="18"/>
              </w:rPr>
              <w:t>Cabeça</w:t>
            </w:r>
          </w:p>
        </w:tc>
        <w:tc>
          <w:tcPr>
            <w:tcW w:w="3402" w:type="dxa"/>
            <w:shd w:val="clear" w:color="auto" w:fill="F2F2F2"/>
          </w:tcPr>
          <w:p w:rsidR="00E719D9" w:rsidRDefault="001A2180">
            <w:pPr>
              <w:spacing w:before="20" w:after="20"/>
            </w:pPr>
            <w:r>
              <w:rPr>
                <w:sz w:val="18"/>
              </w:rPr>
              <w:t>Dropout → Linear(1)</w:t>
            </w:r>
          </w:p>
        </w:tc>
        <w:tc>
          <w:tcPr>
            <w:tcW w:w="3402" w:type="dxa"/>
            <w:shd w:val="clear" w:color="auto" w:fill="F2F2F2"/>
          </w:tcPr>
          <w:p w:rsidR="00E719D9" w:rsidRDefault="001A2180">
            <w:pPr>
              <w:spacing w:before="20" w:after="20"/>
            </w:pPr>
            <w:r>
              <w:rPr>
                <w:sz w:val="18"/>
              </w:rPr>
              <w:t>Dropout → Linear(256) → ReLU → Dropout → Linear(1)</w:t>
            </w:r>
          </w:p>
        </w:tc>
      </w:tr>
      <w:tr w:rsidR="00E719D9">
        <w:trPr>
          <w:jc w:val="center"/>
        </w:trPr>
        <w:tc>
          <w:tcPr>
            <w:tcW w:w="1701" w:type="dxa"/>
          </w:tcPr>
          <w:p w:rsidR="00E719D9" w:rsidRDefault="001A2180">
            <w:pPr>
              <w:spacing w:before="20" w:after="20"/>
            </w:pPr>
            <w:r>
              <w:rPr>
                <w:sz w:val="18"/>
              </w:rPr>
              <w:t>Perda</w:t>
            </w:r>
          </w:p>
        </w:tc>
        <w:tc>
          <w:tcPr>
            <w:tcW w:w="3402" w:type="dxa"/>
          </w:tcPr>
          <w:p w:rsidR="00E719D9" w:rsidRDefault="001A2180">
            <w:pPr>
              <w:spacing w:before="20" w:after="20"/>
            </w:pPr>
            <w:r>
              <w:rPr>
                <w:sz w:val="18"/>
              </w:rPr>
              <w:t>BCE com suavização</w:t>
            </w:r>
          </w:p>
        </w:tc>
        <w:tc>
          <w:tcPr>
            <w:tcW w:w="3402" w:type="dxa"/>
          </w:tcPr>
          <w:p w:rsidR="00E719D9" w:rsidRDefault="001A2180">
            <w:pPr>
              <w:spacing w:before="20" w:after="20"/>
            </w:pPr>
            <w:r>
              <w:rPr>
                <w:sz w:val="18"/>
              </w:rPr>
              <w:t>Focal Loss (padrão) + BCE com suavização</w:t>
            </w:r>
          </w:p>
        </w:tc>
      </w:tr>
      <w:tr w:rsidR="00E719D9">
        <w:trPr>
          <w:jc w:val="center"/>
        </w:trPr>
        <w:tc>
          <w:tcPr>
            <w:tcW w:w="1701" w:type="dxa"/>
            <w:shd w:val="clear" w:color="auto" w:fill="F2F2F2"/>
          </w:tcPr>
          <w:p w:rsidR="00E719D9" w:rsidRDefault="001A2180">
            <w:pPr>
              <w:spacing w:before="20" w:after="20"/>
            </w:pPr>
            <w:r>
              <w:rPr>
                <w:sz w:val="18"/>
              </w:rPr>
              <w:t>Scheduler</w:t>
            </w:r>
          </w:p>
        </w:tc>
        <w:tc>
          <w:tcPr>
            <w:tcW w:w="3402" w:type="dxa"/>
            <w:shd w:val="clear" w:color="auto" w:fill="F2F2F2"/>
          </w:tcPr>
          <w:p w:rsidR="00E719D9" w:rsidRDefault="001A2180">
            <w:pPr>
              <w:spacing w:before="20" w:after="20"/>
            </w:pPr>
            <w:r>
              <w:rPr>
                <w:sz w:val="18"/>
              </w:rPr>
              <w:t>ReduceLROnPlateau</w:t>
            </w:r>
          </w:p>
        </w:tc>
        <w:tc>
          <w:tcPr>
            <w:tcW w:w="3402" w:type="dxa"/>
            <w:shd w:val="clear" w:color="auto" w:fill="F2F2F2"/>
          </w:tcPr>
          <w:p w:rsidR="00E719D9" w:rsidRDefault="001A2180">
            <w:pPr>
              <w:spacing w:before="20" w:after="20"/>
            </w:pPr>
            <w:r>
              <w:rPr>
                <w:sz w:val="18"/>
              </w:rPr>
              <w:t>CosineAnnealingWarmRestarts</w:t>
            </w:r>
          </w:p>
        </w:tc>
      </w:tr>
      <w:tr w:rsidR="00E719D9">
        <w:trPr>
          <w:jc w:val="center"/>
        </w:trPr>
        <w:tc>
          <w:tcPr>
            <w:tcW w:w="1701" w:type="dxa"/>
          </w:tcPr>
          <w:p w:rsidR="00E719D9" w:rsidRDefault="001A2180">
            <w:pPr>
              <w:spacing w:before="20" w:after="20"/>
            </w:pPr>
            <w:r>
              <w:rPr>
                <w:sz w:val="18"/>
              </w:rPr>
              <w:t>TTA</w:t>
            </w:r>
          </w:p>
        </w:tc>
        <w:tc>
          <w:tcPr>
            <w:tcW w:w="3402" w:type="dxa"/>
          </w:tcPr>
          <w:p w:rsidR="00E719D9" w:rsidRDefault="001A2180">
            <w:pPr>
              <w:spacing w:before="20" w:after="20"/>
            </w:pPr>
            <w:r>
              <w:rPr>
                <w:sz w:val="18"/>
              </w:rPr>
              <w:t>2 vistas</w:t>
            </w:r>
          </w:p>
        </w:tc>
        <w:tc>
          <w:tcPr>
            <w:tcW w:w="3402" w:type="dxa"/>
          </w:tcPr>
          <w:p w:rsidR="00E719D9" w:rsidRDefault="001A2180">
            <w:pPr>
              <w:spacing w:before="20" w:after="20"/>
            </w:pPr>
            <w:r>
              <w:rPr>
                <w:sz w:val="18"/>
              </w:rPr>
              <w:t>4 vistas (orig, H, V, HV)</w:t>
            </w:r>
          </w:p>
        </w:tc>
      </w:tr>
      <w:tr w:rsidR="00E719D9">
        <w:trPr>
          <w:jc w:val="center"/>
        </w:trPr>
        <w:tc>
          <w:tcPr>
            <w:tcW w:w="1701" w:type="dxa"/>
            <w:shd w:val="clear" w:color="auto" w:fill="F2F2F2"/>
          </w:tcPr>
          <w:p w:rsidR="00E719D9" w:rsidRDefault="001A2180">
            <w:pPr>
              <w:spacing w:before="20" w:after="20"/>
            </w:pPr>
            <w:r>
              <w:rPr>
                <w:sz w:val="18"/>
              </w:rPr>
              <w:t>Calibração</w:t>
            </w:r>
          </w:p>
        </w:tc>
        <w:tc>
          <w:tcPr>
            <w:tcW w:w="3402" w:type="dxa"/>
            <w:shd w:val="clear" w:color="auto" w:fill="F2F2F2"/>
          </w:tcPr>
          <w:p w:rsidR="00E719D9" w:rsidRDefault="001A2180">
            <w:pPr>
              <w:spacing w:before="20" w:after="20"/>
            </w:pPr>
            <w:r>
              <w:rPr>
                <w:sz w:val="18"/>
              </w:rPr>
              <w:t>Ausente</w:t>
            </w:r>
          </w:p>
        </w:tc>
        <w:tc>
          <w:tcPr>
            <w:tcW w:w="3402" w:type="dxa"/>
            <w:shd w:val="clear" w:color="auto" w:fill="F2F2F2"/>
          </w:tcPr>
          <w:p w:rsidR="00E719D9" w:rsidRDefault="001A2180">
            <w:pPr>
              <w:spacing w:before="20" w:after="20"/>
            </w:pPr>
            <w:r>
              <w:rPr>
                <w:sz w:val="18"/>
              </w:rPr>
              <w:t>Escalonamento de temperatura (L-BFGS)</w:t>
            </w:r>
          </w:p>
        </w:tc>
      </w:tr>
      <w:tr w:rsidR="00E719D9">
        <w:trPr>
          <w:jc w:val="center"/>
        </w:trPr>
        <w:tc>
          <w:tcPr>
            <w:tcW w:w="1701" w:type="dxa"/>
          </w:tcPr>
          <w:p w:rsidR="00E719D9" w:rsidRDefault="001A2180">
            <w:pPr>
              <w:spacing w:before="20" w:after="20"/>
            </w:pPr>
            <w:r>
              <w:rPr>
                <w:sz w:val="18"/>
              </w:rPr>
              <w:t>Limiar</w:t>
            </w:r>
          </w:p>
        </w:tc>
        <w:tc>
          <w:tcPr>
            <w:tcW w:w="3402" w:type="dxa"/>
          </w:tcPr>
          <w:p w:rsidR="00E719D9" w:rsidRDefault="001A2180">
            <w:pPr>
              <w:spacing w:before="20" w:after="20"/>
            </w:pPr>
            <w:r>
              <w:rPr>
                <w:sz w:val="18"/>
              </w:rPr>
              <w:t>Maximiza F1</w:t>
            </w:r>
          </w:p>
        </w:tc>
        <w:tc>
          <w:tcPr>
            <w:tcW w:w="3402" w:type="dxa"/>
          </w:tcPr>
          <w:p w:rsidR="00E719D9" w:rsidRDefault="001A2180">
            <w:pPr>
              <w:spacing w:before="20" w:after="20"/>
            </w:pPr>
            <w:r>
              <w:rPr>
                <w:sz w:val="18"/>
              </w:rPr>
              <w:t>Maximiza F1 com Sens ≥ 0,80</w:t>
            </w:r>
          </w:p>
        </w:tc>
      </w:tr>
      <w:tr w:rsidR="00E719D9">
        <w:trPr>
          <w:jc w:val="center"/>
        </w:trPr>
        <w:tc>
          <w:tcPr>
            <w:tcW w:w="1701" w:type="dxa"/>
            <w:shd w:val="clear" w:color="auto" w:fill="F2F2F2"/>
          </w:tcPr>
          <w:p w:rsidR="00E719D9" w:rsidRDefault="001A2180">
            <w:pPr>
              <w:spacing w:before="20" w:after="20"/>
            </w:pPr>
            <w:r>
              <w:rPr>
                <w:sz w:val="18"/>
              </w:rPr>
              <w:t>Early stopping</w:t>
            </w:r>
          </w:p>
        </w:tc>
        <w:tc>
          <w:tcPr>
            <w:tcW w:w="3402" w:type="dxa"/>
            <w:shd w:val="clear" w:color="auto" w:fill="F2F2F2"/>
          </w:tcPr>
          <w:p w:rsidR="00E719D9" w:rsidRDefault="001A2180">
            <w:pPr>
              <w:spacing w:before="20" w:after="20"/>
            </w:pPr>
            <w:r>
              <w:rPr>
                <w:sz w:val="18"/>
              </w:rPr>
              <w:t>Inoperante (bug)</w:t>
            </w:r>
          </w:p>
        </w:tc>
        <w:tc>
          <w:tcPr>
            <w:tcW w:w="3402" w:type="dxa"/>
            <w:shd w:val="clear" w:color="auto" w:fill="F2F2F2"/>
          </w:tcPr>
          <w:p w:rsidR="00E719D9" w:rsidRDefault="001A2180">
            <w:pPr>
              <w:spacing w:before="20" w:after="20"/>
            </w:pPr>
            <w:r>
              <w:rPr>
                <w:sz w:val="18"/>
              </w:rPr>
              <w:t>Corrigido e funcional</w:t>
            </w:r>
          </w:p>
        </w:tc>
      </w:tr>
      <w:tr w:rsidR="00E719D9">
        <w:trPr>
          <w:jc w:val="center"/>
        </w:trPr>
        <w:tc>
          <w:tcPr>
            <w:tcW w:w="1701" w:type="dxa"/>
          </w:tcPr>
          <w:p w:rsidR="00E719D9" w:rsidRDefault="001A2180">
            <w:pPr>
              <w:spacing w:before="20" w:after="20"/>
            </w:pPr>
            <w:r>
              <w:rPr>
                <w:sz w:val="18"/>
              </w:rPr>
              <w:t>Interpretabilidade</w:t>
            </w:r>
          </w:p>
        </w:tc>
        <w:tc>
          <w:tcPr>
            <w:tcW w:w="3402" w:type="dxa"/>
          </w:tcPr>
          <w:p w:rsidR="00E719D9" w:rsidRDefault="001A2180">
            <w:pPr>
              <w:spacing w:before="20" w:after="20"/>
            </w:pPr>
            <w:r>
              <w:rPr>
                <w:sz w:val="18"/>
              </w:rPr>
              <w:t>Ausente</w:t>
            </w:r>
          </w:p>
        </w:tc>
        <w:tc>
          <w:tcPr>
            <w:tcW w:w="3402" w:type="dxa"/>
          </w:tcPr>
          <w:p w:rsidR="00E719D9" w:rsidRDefault="001A2180">
            <w:pPr>
              <w:spacing w:before="20" w:after="20"/>
            </w:pPr>
            <w:r>
              <w:rPr>
                <w:sz w:val="18"/>
              </w:rPr>
              <w:t>Grad-CAM (exemplares e conjunto)</w:t>
            </w:r>
          </w:p>
        </w:tc>
      </w:tr>
      <w:tr w:rsidR="00E719D9">
        <w:trPr>
          <w:jc w:val="center"/>
        </w:trPr>
        <w:tc>
          <w:tcPr>
            <w:tcW w:w="1701" w:type="dxa"/>
            <w:shd w:val="clear" w:color="auto" w:fill="F2F2F2"/>
          </w:tcPr>
          <w:p w:rsidR="00E719D9" w:rsidRDefault="001A2180">
            <w:pPr>
              <w:spacing w:before="20" w:after="20"/>
            </w:pPr>
            <w:r>
              <w:rPr>
                <w:sz w:val="18"/>
              </w:rPr>
              <w:t>Inferência única</w:t>
            </w:r>
          </w:p>
        </w:tc>
        <w:tc>
          <w:tcPr>
            <w:tcW w:w="3402" w:type="dxa"/>
            <w:shd w:val="clear" w:color="auto" w:fill="F2F2F2"/>
          </w:tcPr>
          <w:p w:rsidR="00E719D9" w:rsidRDefault="001A2180">
            <w:pPr>
              <w:spacing w:before="20" w:after="20"/>
            </w:pPr>
            <w:r>
              <w:rPr>
                <w:sz w:val="18"/>
              </w:rPr>
              <w:t>Retornava logit bruto</w:t>
            </w:r>
          </w:p>
        </w:tc>
        <w:tc>
          <w:tcPr>
            <w:tcW w:w="3402" w:type="dxa"/>
            <w:shd w:val="clear" w:color="auto" w:fill="F2F2F2"/>
          </w:tcPr>
          <w:p w:rsidR="00E719D9" w:rsidRDefault="001A2180">
            <w:pPr>
              <w:spacing w:before="20" w:after="20"/>
            </w:pPr>
            <w:r>
              <w:rPr>
                <w:sz w:val="18"/>
              </w:rPr>
              <w:t>Probabilidade calibrada + rótulo</w:t>
            </w:r>
          </w:p>
        </w:tc>
      </w:tr>
    </w:tbl>
    <w:p w:rsidR="00E719D9" w:rsidRDefault="00E719D9">
      <w:pPr>
        <w:spacing w:after="40"/>
      </w:pPr>
    </w:p>
    <w:p w:rsidR="00E719D9" w:rsidRDefault="001A2180">
      <w:pPr>
        <w:pStyle w:val="Ttulo2"/>
      </w:pPr>
      <w:r>
        <w:t>5.4 Resultados esperados e contextualização</w:t>
      </w:r>
    </w:p>
    <w:p w:rsidR="00E719D9" w:rsidRDefault="001A2180">
      <w:pPr>
        <w:jc w:val="both"/>
      </w:pPr>
      <w:r>
        <w:t>Este relatório documenta o projeto e a implementação, e não relata o resultad</w:t>
      </w:r>
      <w:r>
        <w:t xml:space="preserve">o de uma execução específica, uma vez que a execução completa depende do acesso ao arquivo licenciado da IARC, não reproduzido neste trabalho [2]. A título de contextualização — e não de previsão de desempenho —, trabalhos correlatos sobre o banco da IARC </w:t>
      </w:r>
      <w:r>
        <w:t xml:space="preserve">relataram métricas entre 97% e 99% [5] e, em soluções móveis, acurácia ≈92% [6]. Tais valores referem-se a conjuntos e definições de rótulo distintos e não devem ser interpretados como estimativa do desempenho deste pipeline. Recomenda-se que </w:t>
      </w:r>
      <w:r>
        <w:lastRenderedPageBreak/>
        <w:t>qualquer rela</w:t>
      </w:r>
      <w:r>
        <w:t>to priorize as métricas no nível do caso, com intervalos de confiança de 95%, o limiar calibrado, a temperatura e a distribuição de classes por divisão.</w:t>
      </w:r>
    </w:p>
    <w:p w:rsidR="00E719D9" w:rsidRDefault="001A2180">
      <w:pPr>
        <w:pStyle w:val="Ttulo1"/>
      </w:pPr>
      <w:r>
        <w:t>6. Discussão: Ética, Limitações e Trabalhos Futuros</w:t>
      </w:r>
    </w:p>
    <w:p w:rsidR="00E719D9" w:rsidRDefault="001A2180">
      <w:pPr>
        <w:jc w:val="both"/>
      </w:pPr>
      <w:r>
        <w:t xml:space="preserve">O próprio código declara que os resultados são </w:t>
      </w:r>
      <w:r>
        <w:t xml:space="preserve">experimentais e não devem ser usados para decisão clínica — afirmação que este relatório reitera. O acesso às imagens da IARC está sujeito aos procedimentos da instituição, e o uso de imagens médicas pressupõe aprovação ética. Há risco de viés algorítmico </w:t>
      </w:r>
      <w:r>
        <w:t>e de generalização limitada, dada a diversidade de centros e dispositivos; qualquer aplicação prática exigiria validação clínica prospectiva [8]. Ferramentas dessa natureza enquadram-se melhor como apoio à decisão do que como diagnóstico autônomo, e os map</w:t>
      </w:r>
      <w:r>
        <w:t>as Grad-CAM contribuem para a transparência.</w:t>
      </w:r>
    </w:p>
    <w:p w:rsidR="00E719D9" w:rsidRDefault="001A2180">
      <w:pPr>
        <w:jc w:val="both"/>
      </w:pPr>
      <w:r>
        <w:t>Permanecem limitações que deveriam ser tratadas antes de qualquer relato empírico:</w:t>
      </w:r>
    </w:p>
    <w:p w:rsidR="00E719D9" w:rsidRDefault="001A2180">
      <w:pPr>
        <w:pStyle w:val="Commarcadores"/>
        <w:jc w:val="both"/>
      </w:pPr>
      <w:r>
        <w:rPr>
          <w:b/>
        </w:rPr>
        <w:t xml:space="preserve">Rotulagem sem tratamento de negação: </w:t>
      </w:r>
      <w:r>
        <w:t>a rotulagem por mineração de texto não trata negação, podendo classificar incorretamente te</w:t>
      </w:r>
      <w:r>
        <w:t>xtos que descrevam a ausência da condição; cotejar com o campo Histopathology seria uma alternativa.</w:t>
      </w:r>
    </w:p>
    <w:p w:rsidR="00E719D9" w:rsidRDefault="001A2180">
      <w:pPr>
        <w:pStyle w:val="Commarcadores"/>
        <w:jc w:val="both"/>
      </w:pPr>
      <w:r>
        <w:rPr>
          <w:b/>
        </w:rPr>
        <w:t xml:space="preserve">Caminho padrão específico: </w:t>
      </w:r>
      <w:r>
        <w:t>o caminho padrão do ZIP da IARC é específico do ambiente de desenvolvimento, reduzindo a portabilidade.</w:t>
      </w:r>
    </w:p>
    <w:p w:rsidR="00E719D9" w:rsidRDefault="001A2180">
      <w:pPr>
        <w:pStyle w:val="Commarcadores"/>
        <w:jc w:val="both"/>
      </w:pPr>
      <w:r>
        <w:rPr>
          <w:b/>
        </w:rPr>
        <w:t>Paralelismo de GPU limit</w:t>
      </w:r>
      <w:r>
        <w:rPr>
          <w:b/>
        </w:rPr>
        <w:t xml:space="preserve">ado: </w:t>
      </w:r>
      <w:r>
        <w:t>o paralelismo de múltiplas GPUs está desativado nesta versão.</w:t>
      </w:r>
    </w:p>
    <w:p w:rsidR="00E719D9" w:rsidRDefault="001A2180">
      <w:pPr>
        <w:pStyle w:val="Commarcadores"/>
        <w:jc w:val="both"/>
      </w:pPr>
      <w:r>
        <w:rPr>
          <w:b/>
        </w:rPr>
        <w:t xml:space="preserve">Validação externa não automatizada: </w:t>
      </w:r>
      <w:r>
        <w:t>a divisão external_test não é populada automaticamente, embora suportada.</w:t>
      </w:r>
    </w:p>
    <w:p w:rsidR="00E719D9" w:rsidRDefault="001A2180">
      <w:pPr>
        <w:jc w:val="both"/>
      </w:pPr>
      <w:r>
        <w:t>Como trabalhos futuros, delineiam-se: curadoria de rótulos com revisão por espe</w:t>
      </w:r>
      <w:r>
        <w:t>cialistas; validação externa em coorte independente; pré-treinamento de domínio e ensembles por validação cruzada; fusão multimodal incorporando HPV, escore de Swede e zona de transformação [4]; e, seguindo [8], validação clínica prospectiva.</w:t>
      </w:r>
    </w:p>
    <w:p w:rsidR="00E719D9" w:rsidRDefault="001A2180">
      <w:pPr>
        <w:pStyle w:val="Ttulo1"/>
      </w:pPr>
      <w:r>
        <w:t>7. Conclusão</w:t>
      </w:r>
    </w:p>
    <w:p w:rsidR="00E719D9" w:rsidRDefault="001A2180">
      <w:pPr>
        <w:jc w:val="both"/>
      </w:pPr>
      <w:r>
        <w:t>Este relatório técnico descreveu o desenvolvimento completo do Cervix Visual AI, percorrendo a proposta (objetivos, requisitos e metodologia iterativa), o desenvolvimento (arquitetura de software, dados, modelo EfficientNet-B3, treinamento, inferência cali</w:t>
      </w:r>
      <w:r>
        <w:t>brada, interpretabilidade e projeto orientado a objetos documentado em UML) e a avaliação (protocolo por caso, artefatos, evolução entre versões e contextualização de resultados). O pipeline combina disciplina no tratamento de dados — divisão e agregação p</w:t>
      </w:r>
      <w:r>
        <w:t>or paciente com quantificação de incerteza — com técnicas modernas de regularização, calibração e explicabilidade, corrigindo defeitos da iteração inicial. Enquadrado honestamente como artefato de pesquisa experimental, oferece um modelo reprodutível e int</w:t>
      </w:r>
      <w:r>
        <w:t>erpretável, além de um ponto de partida concreto para refinamentos — curadoria de rótulos, validação externa, pré-treinamento de domínio, fusão multimodal e avaliação clínica prospectiva — necessários para que um protótipo evolua, com segurança para as pac</w:t>
      </w:r>
      <w:r>
        <w:t>ientes, em direção a uma ferramenta de apoio ao rastreamento do câncer do colo do útero [1].</w:t>
      </w:r>
    </w:p>
    <w:p w:rsidR="00E719D9" w:rsidRDefault="001A2180">
      <w:pPr>
        <w:pStyle w:val="Ttulo1"/>
      </w:pPr>
      <w:r>
        <w:lastRenderedPageBreak/>
        <w:t>Referências</w:t>
      </w:r>
    </w:p>
    <w:p w:rsidR="00E719D9" w:rsidRDefault="001A2180">
      <w:pPr>
        <w:spacing w:after="80"/>
        <w:jc w:val="both"/>
      </w:pPr>
      <w:r>
        <w:rPr>
          <w:sz w:val="22"/>
        </w:rPr>
        <w:t>[1] WORLD HEALTH ORGANIZATION. Global strategy to accelerate the elimination of cervical cancer as a public health problem. Geneva: WHO, 2020.</w:t>
      </w:r>
    </w:p>
    <w:p w:rsidR="00E719D9" w:rsidRDefault="001A2180">
      <w:pPr>
        <w:spacing w:after="80"/>
        <w:jc w:val="both"/>
      </w:pPr>
      <w:r>
        <w:rPr>
          <w:sz w:val="22"/>
        </w:rPr>
        <w:t>[2] INTE</w:t>
      </w:r>
      <w:r>
        <w:rPr>
          <w:sz w:val="22"/>
        </w:rPr>
        <w:t>RNATIONAL AGENCY FOR RESEARCH ON CANCER (IARC). IARC Cervical Cancer Image Bank. Disponível em: https://screening.iarc.fr/cervicalimagebank.php. Acesso em: jun. 2026.</w:t>
      </w:r>
    </w:p>
    <w:p w:rsidR="00E719D9" w:rsidRDefault="001A2180">
      <w:pPr>
        <w:spacing w:after="80"/>
        <w:jc w:val="both"/>
      </w:pPr>
      <w:r>
        <w:rPr>
          <w:sz w:val="22"/>
        </w:rPr>
        <w:t>[3] HU, L. et al. An Observational Study of Deep Learning and Automated Evaluation of Cer</w:t>
      </w:r>
      <w:r>
        <w:rPr>
          <w:sz w:val="22"/>
        </w:rPr>
        <w:t>vical Images for Cancer Screening. Journal of the National Cancer Institute, 2019.</w:t>
      </w:r>
    </w:p>
    <w:p w:rsidR="00E719D9" w:rsidRDefault="001A2180">
      <w:pPr>
        <w:spacing w:after="80"/>
        <w:jc w:val="both"/>
      </w:pPr>
      <w:r>
        <w:rPr>
          <w:sz w:val="22"/>
        </w:rPr>
        <w:t xml:space="preserve">[4] KALBHOR, M. et al. DeepCerviCancer — Deep Learning-Based Cervical Image Classification using Colposcopy and Cytology Images. EAI Endorsed Trans. on Pervasive Health and </w:t>
      </w:r>
      <w:r>
        <w:rPr>
          <w:sz w:val="22"/>
        </w:rPr>
        <w:t>Technology, 2023.</w:t>
      </w:r>
    </w:p>
    <w:p w:rsidR="00E719D9" w:rsidRDefault="001A2180">
      <w:pPr>
        <w:spacing w:after="80"/>
        <w:jc w:val="both"/>
      </w:pPr>
      <w:r>
        <w:rPr>
          <w:sz w:val="22"/>
        </w:rPr>
        <w:t>[5] Deep Learning Descriptor Hybridization with Feature Reduction for Accurate Cervical Cancer Colposcopy Image Classification. arXiv:2405.01600, 2024.</w:t>
      </w:r>
    </w:p>
    <w:p w:rsidR="00E719D9" w:rsidRDefault="001A2180">
      <w:pPr>
        <w:spacing w:after="80"/>
        <w:jc w:val="both"/>
      </w:pPr>
      <w:r>
        <w:rPr>
          <w:sz w:val="22"/>
        </w:rPr>
        <w:t xml:space="preserve">[6] Automated Cervical Cancer Detection through Visual Inspection with Acetic Acid in </w:t>
      </w:r>
      <w:r>
        <w:rPr>
          <w:sz w:val="22"/>
        </w:rPr>
        <w:t>Resource-Poor Settings with Lightweight Deep Learning Models Deployed on an Android Device. arXiv:2508.13253, 2025.</w:t>
      </w:r>
    </w:p>
    <w:p w:rsidR="00E719D9" w:rsidRDefault="001A2180">
      <w:pPr>
        <w:spacing w:after="80"/>
        <w:jc w:val="both"/>
      </w:pPr>
      <w:r>
        <w:rPr>
          <w:sz w:val="22"/>
        </w:rPr>
        <w:t>[7] XUE, Z. et al. Image Quality Classification for Automated Visual Evaluation of Cervical Precancer. In: MILLanD 2022, LNCS v. 13559. Cham</w:t>
      </w:r>
      <w:r>
        <w:rPr>
          <w:sz w:val="22"/>
        </w:rPr>
        <w:t>: Springer, 2022.</w:t>
      </w:r>
    </w:p>
    <w:p w:rsidR="00E719D9" w:rsidRDefault="001A2180">
      <w:pPr>
        <w:spacing w:after="80"/>
        <w:jc w:val="both"/>
      </w:pPr>
      <w:r>
        <w:rPr>
          <w:sz w:val="22"/>
        </w:rPr>
        <w:t>[8] Development and Clinical Validation of a VIA-Artificial Intelligence Tool in Screen-and-Treat Visual Screening for Cervical Cancer in South India: A Pilot Study. JCO Global Oncology, 2024.</w:t>
      </w:r>
    </w:p>
    <w:p w:rsidR="00E719D9" w:rsidRDefault="001A2180">
      <w:pPr>
        <w:spacing w:after="80"/>
        <w:jc w:val="both"/>
      </w:pPr>
      <w:r>
        <w:rPr>
          <w:sz w:val="22"/>
        </w:rPr>
        <w:t xml:space="preserve">[9] HE, K.; ZHANG, X.; REN, S.; SUN, J. Deep </w:t>
      </w:r>
      <w:r>
        <w:rPr>
          <w:sz w:val="22"/>
        </w:rPr>
        <w:t>Residual Learning for Image Recognition. In: CVPR, 2016.</w:t>
      </w:r>
    </w:p>
    <w:p w:rsidR="00E719D9" w:rsidRDefault="001A2180">
      <w:pPr>
        <w:spacing w:after="80"/>
        <w:jc w:val="both"/>
      </w:pPr>
      <w:r>
        <w:rPr>
          <w:sz w:val="22"/>
        </w:rPr>
        <w:t>[10] LOSHCHILOV, I.; HUTTER, F. Decoupled Weight Decay Regularization. In: ICLR, 2019.</w:t>
      </w:r>
    </w:p>
    <w:p w:rsidR="00E719D9" w:rsidRDefault="001A2180">
      <w:pPr>
        <w:spacing w:after="80"/>
        <w:jc w:val="both"/>
      </w:pPr>
      <w:r>
        <w:rPr>
          <w:sz w:val="22"/>
        </w:rPr>
        <w:t>[11] DENG, J. et al. ImageNet: A Large-Scale Hierarchical Image Database. In: CVPR, 2009.</w:t>
      </w:r>
    </w:p>
    <w:p w:rsidR="00E719D9" w:rsidRDefault="001A2180">
      <w:pPr>
        <w:spacing w:after="80"/>
        <w:jc w:val="both"/>
      </w:pPr>
      <w:r>
        <w:rPr>
          <w:sz w:val="22"/>
        </w:rPr>
        <w:t xml:space="preserve">[12] WORLD HEALTH </w:t>
      </w:r>
      <w:r>
        <w:rPr>
          <w:sz w:val="22"/>
        </w:rPr>
        <w:t>ORGANIZATION. New recommendations for screening and treatment to prevent cervical cancer. Geneva: WHO, 2021.</w:t>
      </w:r>
    </w:p>
    <w:p w:rsidR="00E719D9" w:rsidRDefault="001A2180">
      <w:pPr>
        <w:spacing w:after="80"/>
        <w:jc w:val="both"/>
      </w:pPr>
      <w:r>
        <w:rPr>
          <w:sz w:val="22"/>
        </w:rPr>
        <w:t>[13] TAN, M.; LE, Q. EfficientNet: Rethinking Model Scaling for Convolutional Neural Networks. In: ICML, 2019.</w:t>
      </w:r>
    </w:p>
    <w:p w:rsidR="00E719D9" w:rsidRDefault="001A2180">
      <w:pPr>
        <w:spacing w:after="80"/>
        <w:jc w:val="both"/>
      </w:pPr>
      <w:r>
        <w:rPr>
          <w:sz w:val="22"/>
        </w:rPr>
        <w:t>[14] LIU, Z. et al. A ConvNet for th</w:t>
      </w:r>
      <w:r>
        <w:rPr>
          <w:sz w:val="22"/>
        </w:rPr>
        <w:t>e 2020s. In: CVPR, 2022.</w:t>
      </w:r>
    </w:p>
    <w:p w:rsidR="00E719D9" w:rsidRDefault="001A2180">
      <w:pPr>
        <w:spacing w:after="80"/>
        <w:jc w:val="both"/>
      </w:pPr>
      <w:r>
        <w:rPr>
          <w:sz w:val="22"/>
        </w:rPr>
        <w:t>[15] LIN, T.-Y. et al. Focal Loss for Dense Object Detection. In: ICCV, 2017.</w:t>
      </w:r>
    </w:p>
    <w:p w:rsidR="00E719D9" w:rsidRDefault="001A2180">
      <w:pPr>
        <w:spacing w:after="80"/>
        <w:jc w:val="both"/>
      </w:pPr>
      <w:r>
        <w:rPr>
          <w:sz w:val="22"/>
        </w:rPr>
        <w:t>[16] GUO, C. et al. On Calibration of Modern Neural Networks. In: ICML, 2017.</w:t>
      </w:r>
    </w:p>
    <w:p w:rsidR="00E719D9" w:rsidRDefault="001A2180">
      <w:pPr>
        <w:spacing w:after="80"/>
        <w:jc w:val="both"/>
      </w:pPr>
      <w:r>
        <w:rPr>
          <w:sz w:val="22"/>
        </w:rPr>
        <w:t xml:space="preserve">[17] SELVARAJU, R. R. et al. Grad-CAM: Visual Explanations from Deep </w:t>
      </w:r>
      <w:r>
        <w:rPr>
          <w:sz w:val="22"/>
        </w:rPr>
        <w:t>Networks via Gradient-based Localization. In: ICCV, 2017.</w:t>
      </w:r>
    </w:p>
    <w:p w:rsidR="00E719D9" w:rsidRDefault="001A2180">
      <w:pPr>
        <w:spacing w:after="80"/>
        <w:jc w:val="both"/>
      </w:pPr>
      <w:r>
        <w:rPr>
          <w:sz w:val="22"/>
        </w:rPr>
        <w:t>[18] ZHANG, H. et al. mixup: Beyond Empirical Risk Minimization. In: ICLR, 2018.</w:t>
      </w:r>
    </w:p>
    <w:sectPr w:rsidR="00E719D9" w:rsidSect="00034616">
      <w:pgSz w:w="11906" w:h="16838"/>
      <w:pgMar w:top="1984" w:right="1701" w:bottom="141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0"/>
  <w:defaultTabStop w:val="720"/>
  <w:hyphenationZone w:val="425"/>
  <w:characterSpacingControl w:val="doNotCompress"/>
  <w:compat>
    <w:useFELayout/>
  </w:compat>
  <w:rsids>
    <w:rsidRoot w:val="00B47730"/>
    <w:rsid w:val="00034616"/>
    <w:rsid w:val="0006063C"/>
    <w:rsid w:val="0015074B"/>
    <w:rsid w:val="001A2180"/>
    <w:rsid w:val="0029639D"/>
    <w:rsid w:val="00326F90"/>
    <w:rsid w:val="00517C6D"/>
    <w:rsid w:val="00773CF7"/>
    <w:rsid w:val="008749C5"/>
    <w:rsid w:val="00966543"/>
    <w:rsid w:val="00AA1D8D"/>
    <w:rsid w:val="00B47730"/>
    <w:rsid w:val="00CB0664"/>
    <w:rsid w:val="00E719D9"/>
    <w:rsid w:val="00FC693F"/>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eastAsia="Times New Roman" w:hAnsi="Times New Roman"/>
      <w:color w:val="000000"/>
      <w:sz w:val="24"/>
    </w:rPr>
  </w:style>
  <w:style w:type="paragraph" w:styleId="Ttulo1">
    <w:name w:val="heading 1"/>
    <w:basedOn w:val="Normal"/>
    <w:next w:val="Normal"/>
    <w:link w:val="Ttulo1Char"/>
    <w:uiPriority w:val="9"/>
    <w:qFormat/>
    <w:rsid w:val="00FC693F"/>
    <w:pPr>
      <w:keepNext/>
      <w:keepLines/>
      <w:spacing w:before="240"/>
      <w:outlineLvl w:val="0"/>
    </w:pPr>
    <w:rPr>
      <w:rFonts w:asciiTheme="majorHAnsi" w:eastAsiaTheme="majorEastAsia" w:hAnsiTheme="majorHAnsi" w:cstheme="majorBidi"/>
      <w:b/>
      <w:bCs/>
      <w:sz w:val="26"/>
      <w:szCs w:val="28"/>
    </w:rPr>
  </w:style>
  <w:style w:type="paragraph" w:styleId="Ttulo2">
    <w:name w:val="heading 2"/>
    <w:basedOn w:val="Normal"/>
    <w:next w:val="Normal"/>
    <w:link w:val="Ttulo2Char"/>
    <w:uiPriority w:val="9"/>
    <w:unhideWhenUsed/>
    <w:qFormat/>
    <w:rsid w:val="00FC693F"/>
    <w:pPr>
      <w:keepNext/>
      <w:keepLines/>
      <w:spacing w:before="240"/>
      <w:outlineLvl w:val="1"/>
    </w:pPr>
    <w:rPr>
      <w:rFonts w:asciiTheme="majorHAnsi" w:eastAsiaTheme="majorEastAsia" w:hAnsiTheme="majorHAnsi" w:cstheme="majorBidi"/>
      <w:b/>
      <w:bCs/>
      <w:szCs w:val="26"/>
    </w:rPr>
  </w:style>
  <w:style w:type="paragraph" w:styleId="Ttulo3">
    <w:name w:val="heading 3"/>
    <w:basedOn w:val="Normal"/>
    <w:next w:val="Normal"/>
    <w:link w:val="Ttulo3Char"/>
    <w:uiPriority w:val="9"/>
    <w:unhideWhenUsed/>
    <w:qFormat/>
    <w:rsid w:val="00FC693F"/>
    <w:pPr>
      <w:keepNext/>
      <w:keepLines/>
      <w:spacing w:before="240"/>
      <w:outlineLvl w:val="2"/>
    </w:pPr>
    <w:rPr>
      <w:rFonts w:asciiTheme="majorHAnsi" w:eastAsiaTheme="majorEastAsia" w:hAnsiTheme="majorHAnsi" w:cstheme="majorBidi"/>
      <w:b/>
      <w:bCs/>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debalo">
    <w:name w:val="Balloon Text"/>
    <w:basedOn w:val="Normal"/>
    <w:link w:val="TextodebaloChar"/>
    <w:uiPriority w:val="99"/>
    <w:semiHidden/>
    <w:unhideWhenUsed/>
    <w:rsid w:val="00773CF7"/>
    <w:pPr>
      <w:spacing w:after="0"/>
    </w:pPr>
    <w:rPr>
      <w:rFonts w:ascii="Tahoma" w:hAnsi="Tahoma" w:cs="Tahoma"/>
      <w:sz w:val="16"/>
      <w:szCs w:val="16"/>
    </w:rPr>
  </w:style>
  <w:style w:type="character" w:customStyle="1" w:styleId="TextodebaloChar">
    <w:name w:val="Texto de balão Char"/>
    <w:basedOn w:val="Fontepargpadro"/>
    <w:link w:val="Textodebalo"/>
    <w:uiPriority w:val="99"/>
    <w:semiHidden/>
    <w:rsid w:val="00773CF7"/>
    <w:rPr>
      <w:rFonts w:ascii="Tahoma" w:eastAsia="Times New Roman" w:hAnsi="Tahoma" w:cs="Tahoma"/>
      <w:color w:val="000000"/>
      <w:sz w:val="16"/>
      <w:szCs w:val="16"/>
    </w:rPr>
  </w:style>
  <w:style w:type="character" w:styleId="Hyperlink">
    <w:name w:val="Hyperlink"/>
    <w:basedOn w:val="Fontepargpadro"/>
    <w:uiPriority w:val="99"/>
    <w:unhideWhenUsed/>
    <w:rsid w:val="00966543"/>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microsoft.com/office/2007/relationships/stylesWithEffects" Target="stylesWithEffect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miguelplentz@edu.unisinos.br"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13</Pages>
  <Words>4173</Words>
  <Characters>22535</Characters>
  <Application>Microsoft Office Word</Application>
  <DocSecurity>0</DocSecurity>
  <Lines>187</Lines>
  <Paragraphs>53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26655</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ueldomiguel@gmail.com</cp:lastModifiedBy>
  <cp:revision>2</cp:revision>
  <dcterms:created xsi:type="dcterms:W3CDTF">2013-12-23T23:15:00Z</dcterms:created>
  <dcterms:modified xsi:type="dcterms:W3CDTF">2026-06-22T03:01:00Z</dcterms:modified>
  <cp:category/>
</cp:coreProperties>
</file>