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1F4E79"/>
          <w:sz w:val="40"/>
          <w:szCs w:val="40"/>
        </w:rPr>
        <w:t xml:space="preserve">From Water Bears to Nuclear Workers:</w:t>
      </w:r>
    </w:p>
    <w:p>
      <w:pPr>
        <w:spacing w:after="200" w:before="0"/>
        <w:jc w:val="center"/>
      </w:pPr>
      <w:r>
        <w:rPr>
          <w:rFonts w:ascii="Arial" w:cs="Arial" w:eastAsia="Arial" w:hAnsi="Arial"/>
          <w:b/>
          <w:bCs/>
          <w:color w:val="2E75B6"/>
          <w:sz w:val="32"/>
          <w:szCs w:val="32"/>
        </w:rPr>
        <w:t xml:space="preserve">The Case for Dsup-Inspired Prophylactic Radioprotection in Occupational Low-Dose Radiation Environments</w:t>
      </w:r>
    </w:p>
    <w:p>
      <w:pPr>
        <w:spacing w:after="60" w:before="0"/>
        <w:jc w:val="center"/>
      </w:pPr>
      <w:r>
        <w:rPr>
          <w:rFonts w:ascii="Arial" w:cs="Arial" w:eastAsia="Arial" w:hAnsi="Arial"/>
          <w:b/>
          <w:bCs/>
          <w:sz w:val="24"/>
          <w:szCs w:val="24"/>
        </w:rPr>
        <w:t xml:space="preserve">John Ernest Carter</w:t>
      </w:r>
    </w:p>
    <w:p>
      <w:pPr>
        <w:spacing w:after="60" w:before="0"/>
        <w:jc w:val="center"/>
      </w:pPr>
      <w:r>
        <w:rPr>
          <w:rFonts w:ascii="Georgia" w:cs="Georgia" w:eastAsia="Georgia" w:hAnsi="Georgia"/>
          <w:i/>
          <w:iCs/>
          <w:color w:val="595959"/>
          <w:sz w:val="22"/>
          <w:szCs w:val="22"/>
        </w:rPr>
        <w:t xml:space="preserve">Presignal Research Initiative, Presignal Inc., Niagara Region, Ontario, Canada</w:t>
      </w:r>
    </w:p>
    <w:p>
      <w:pPr>
        <w:spacing w:after="60" w:before="0"/>
        <w:jc w:val="center"/>
      </w:pPr>
      <w:r>
        <w:rPr>
          <w:rFonts w:ascii="Georgia" w:cs="Georgia" w:eastAsia="Georgia" w:hAnsi="Georgia"/>
          <w:color w:val="595959"/>
          <w:sz w:val="20"/>
          <w:szCs w:val="20"/>
        </w:rPr>
        <w:t xml:space="preserve">ORCID: 0009-0004-1363-304X</w:t>
      </w:r>
    </w:p>
    <w:p>
      <w:pPr>
        <w:spacing w:after="60" w:before="0"/>
        <w:jc w:val="center"/>
      </w:pPr>
      <w:r>
        <w:rPr>
          <w:rFonts w:ascii="Georgia" w:cs="Georgia" w:eastAsia="Georgia" w:hAnsi="Georgia"/>
          <w:color w:val="595959"/>
          <w:sz w:val="20"/>
          <w:szCs w:val="20"/>
        </w:rPr>
        <w:t xml:space="preserve">Contact: jubecrew@gmail.com</w:t>
      </w:r>
    </w:p>
    <w:p>
      <w:pPr>
        <w:pBdr>
          <w:bottom w:val="single" w:color="2E75B6" w:sz="6" w:space="8"/>
        </w:pBdr>
        <w:spacing w:after="60" w:before="0"/>
        <w:jc w:val="center"/>
      </w:pPr>
      <w:r>
        <w:rPr>
          <w:rFonts w:ascii="Arial" w:cs="Arial" w:eastAsia="Arial" w:hAnsi="Arial"/>
          <w:color w:val="595959"/>
          <w:sz w:val="18"/>
          <w:szCs w:val="18"/>
        </w:rPr>
        <w:t xml:space="preserve">Preprint — Not Peer Reviewed  |  May 2026  |  Presignal Inc., Ontario Corporation No. 1001577205</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0"/>
          <w:szCs w:val="30"/>
        </w:rPr>
        <w:t xml:space="preserve">Abstract</w:t>
      </w:r>
    </w:p>
    <w:p>
      <w:pPr>
        <w:spacing w:after="80" w:before="80" w:line="276"/>
        <w:jc w:val="both"/>
      </w:pPr>
      <w:r>
        <w:rPr>
          <w:rFonts w:ascii="Georgia" w:cs="Georgia" w:eastAsia="Georgia" w:hAnsi="Georgia"/>
          <w:sz w:val="22"/>
          <w:szCs w:val="22"/>
        </w:rPr>
        <w:t xml:space="preserve">Nuclear power plant workers and other occupationally exposed individuals face documented health risks from chronic low-dose ionizing radiation that current regulatory frameworks inadequately address. The only FDA-approved prophylactic radioprotective agent, amifostine, carries a toxicity profile that precludes routine occupational use. Simultaneously, a revolution in extremophile biology has produced a candidate solution of remarkable elegance: the Damage Suppressor protein (Dsup) of the tardigrade Ramazzottius varieornatus, which physically shields DNA from ionizing radiation and has been shown to reduce strand breaks by approximately 40-50% when expressed in human cells. Recent advances in mRNA nanoparticle delivery have demonstrated tissue-targeted, transient Dsup expression in living animal models without genomic integration risk. Despite this convergence of occupational health need and emerging biotechnology, no published research has framed Dsup-based prophylaxis as an intervention for chronic occupational radiation exposure. This preprint applies the Presignal Subtraction Framework to identify this gap as a Category I signal — real, novel, and actionable — and proposes a research agenda for translating tardigrade-inspired radioprotection into worker protection.</w:t>
      </w:r>
    </w:p>
    <w:p>
      <w:pPr>
        <w:spacing w:after="120" w:before="0"/>
      </w:pPr>
      <w:r>
        <w:t xml:space="preserve"/>
      </w:r>
    </w:p>
    <w:p>
      <w:pPr>
        <w:spacing w:after="80" w:before="80" w:line="276"/>
        <w:jc w:val="both"/>
      </w:pPr>
      <w:r>
        <w:rPr>
          <w:rFonts w:ascii="Georgia" w:cs="Georgia" w:eastAsia="Georgia" w:hAnsi="Georgia"/>
          <w:b/>
          <w:bCs/>
          <w:sz w:val="22"/>
          <w:szCs w:val="22"/>
        </w:rPr>
        <w:t xml:space="preserve">Keywords: </w:t>
      </w:r>
      <w:r>
        <w:rPr>
          <w:rFonts w:ascii="Georgia" w:cs="Georgia" w:eastAsia="Georgia" w:hAnsi="Georgia"/>
          <w:sz w:val="22"/>
          <w:szCs w:val="22"/>
        </w:rPr>
        <w:t xml:space="preserve">ionizing radiation, radioprotection, Dsup, tardigrade, occupational health, nuclear workers, mRNA therapeutics, low-dose radiation, DNA damage suppressor, prophylaxis</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0"/>
          <w:szCs w:val="30"/>
        </w:rPr>
        <w:t xml:space="preserve">1. Introduction: The Problem That Regulation Has Not Solved</w:t>
      </w:r>
    </w:p>
    <w:p>
      <w:pPr>
        <w:spacing w:after="80" w:before="80" w:line="276"/>
        <w:jc w:val="both"/>
      </w:pPr>
      <w:r>
        <w:rPr>
          <w:rFonts w:ascii="Georgia" w:cs="Georgia" w:eastAsia="Georgia" w:hAnsi="Georgia"/>
          <w:sz w:val="22"/>
          <w:szCs w:val="22"/>
        </w:rPr>
        <w:t xml:space="preserve">Millions of workers worldwide are occupationally exposed to ionizing radiation at levels that fall within established regulatory limits yet measurably above background. This population includes nuclear power plant operators and maintenance personnel, industrial radiographers, nuclear medicine and radiology technicians, uranium fuel cycle workers, and military and first-responder personnel in radiological contexts. The implicit assumption embedded in current regulatory frameworks — that compliance with dose limits confers adequate biological protection — is increasingly challenged by the epidemiological literature.</w:t>
      </w:r>
    </w:p>
    <w:p>
      <w:pPr>
        <w:spacing w:after="80" w:before="80" w:line="276"/>
        <w:jc w:val="both"/>
      </w:pPr>
      <w:r>
        <w:rPr>
          <w:rFonts w:ascii="Georgia" w:cs="Georgia" w:eastAsia="Georgia" w:hAnsi="Georgia"/>
          <w:sz w:val="22"/>
          <w:szCs w:val="22"/>
        </w:rPr>
        <w:t xml:space="preserve">A 2024 meta-analysis of studies published through August 2023 found elevated risks for mesothelioma, thyroid cancer, and leukemia in nuclear power plant workers exposed to low-dose radiation at levels meeting regulatory dose limits [1]. Critically, the current limits set by the International Commission on Radiological Protection (ICRP) are calibrated exclusively to cancer and heritable effects, leaving non-cancer disease endpoints — cardiovascular disease, cataracts, glaucoma, and neurodegenerative conditions — largely outside the regulatory calculus [1].</w:t>
      </w:r>
    </w:p>
    <w:p>
      <w:pPr>
        <w:spacing w:after="80" w:before="80" w:line="276"/>
        <w:jc w:val="both"/>
      </w:pPr>
      <w:r>
        <w:rPr>
          <w:rFonts w:ascii="Georgia" w:cs="Georgia" w:eastAsia="Georgia" w:hAnsi="Georgia"/>
          <w:sz w:val="22"/>
          <w:szCs w:val="22"/>
        </w:rPr>
        <w:t xml:space="preserve">A retrospective cohort study of 60,874 Ontario nuclear power plant workers drawn from the Canadian National Dose Registry found emerging evidence of dementia risk from low-dose radiation, with the authors noting this represents the first occupational cohort to investigate dementia risk using incident outcomes rather than death data [2]. This Ontario data is geographically immediate: the workers described in that cohort overlap with the broader workforce context in which this preprint originates.</w:t>
      </w:r>
    </w:p>
    <w:p>
      <w:pPr>
        <w:spacing w:after="80" w:before="80" w:line="276"/>
        <w:jc w:val="both"/>
      </w:pPr>
      <w:r>
        <w:rPr>
          <w:rFonts w:ascii="Georgia" w:cs="Georgia" w:eastAsia="Georgia" w:hAnsi="Georgia"/>
          <w:sz w:val="22"/>
          <w:szCs w:val="22"/>
        </w:rPr>
        <w:t xml:space="preserve">A separate chromosomal instability study of 201 Korean nuclear power plant workers found measurable chromosome aberrations in lymphocytes at cumulative doses with mean values of approximately 158.8 mSv — doses accumulated over working careers that never triggered acute radiation events [3]. These aberrations are reliable biomarkers of cancer risk elevation in healthy populations.</w:t>
      </w:r>
    </w:p>
    <w:p>
      <w:pPr>
        <w:spacing w:after="80" w:before="80" w:line="276"/>
        <w:jc w:val="both"/>
      </w:pPr>
      <w:r>
        <w:rPr>
          <w:rFonts w:ascii="Georgia" w:cs="Georgia" w:eastAsia="Georgia" w:hAnsi="Georgia"/>
          <w:sz w:val="22"/>
          <w:szCs w:val="22"/>
        </w:rPr>
        <w:t xml:space="preserve">The signal is clear: chronic low-dose occupational radiation exposure causes real biological harm beneath the threshold of regulatory concern, and that harm is both undercounted and underprotected. The question this preprint addresses is whether a biological solution — one discovered not in a laboratory but in the evolutionary architecture of the most radiation-resistant animal on Earth — can bridge this protection gap.</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0"/>
          <w:szCs w:val="30"/>
        </w:rPr>
        <w:t xml:space="preserve">2. The Pharmaceutical Gap: Why Amifostine Cannot Solve This</w:t>
      </w:r>
    </w:p>
    <w:p>
      <w:pPr>
        <w:spacing w:after="80" w:before="80" w:line="276"/>
        <w:jc w:val="both"/>
      </w:pPr>
      <w:r>
        <w:rPr>
          <w:rFonts w:ascii="Georgia" w:cs="Georgia" w:eastAsia="Georgia" w:hAnsi="Georgia"/>
          <w:sz w:val="22"/>
          <w:szCs w:val="22"/>
        </w:rPr>
        <w:t xml:space="preserve">The radioprotective pharmacology landscape is nearly empty. Amifostine (WR-2721) remains the only cytoprotective agent specifically approved by the US FDA as a radioprophylactic [4]. Its mechanism is multifaceted: free radical scavenging, enhanced DNA protection and repair, and induction of cellular hypoxia [4]. In principle, these actions are precisely what an occupationally exposed worker needs.</w:t>
      </w:r>
    </w:p>
    <w:p>
      <w:pPr>
        <w:spacing w:after="80" w:before="80" w:line="276"/>
        <w:jc w:val="both"/>
      </w:pPr>
      <w:r>
        <w:rPr>
          <w:rFonts w:ascii="Georgia" w:cs="Georgia" w:eastAsia="Georgia" w:hAnsi="Georgia"/>
          <w:sz w:val="22"/>
          <w:szCs w:val="22"/>
        </w:rPr>
        <w:t xml:space="preserve">In practice, amifostine's clinical deployment is severely constrained. Its serious adverse side effect profile — including hypotension, nausea, vomiting, and somnolence — results in high rates of discontinuation even in closely monitored cancer radiotherapy settings [5]. No safe and effective prophylactic countermeasure for use outside acute clinical radiation scenarios has achieved FDA approval, despite decades of active research [6]. Combination strategies pairing amifostine with agents such as gamma-tocotrienol have shown additive efficacy at lower doses in murine models [7], but none have translated into occupationally deployable interventions.</w:t>
      </w:r>
    </w:p>
    <w:p>
      <w:pPr>
        <w:spacing w:after="80" w:before="80" w:line="276"/>
        <w:jc w:val="both"/>
      </w:pPr>
      <w:r>
        <w:rPr>
          <w:rFonts w:ascii="Georgia" w:cs="Georgia" w:eastAsia="Georgia" w:hAnsi="Georgia"/>
          <w:sz w:val="22"/>
          <w:szCs w:val="22"/>
        </w:rPr>
        <w:t xml:space="preserve">The fundamental mismatch is architectural. Amifostine was developed in the context of acute, high-dose, short-duration exposures — nuclear warfare countermeasure research and cancer radiotherapy. The occupational worker's exposure profile is precisely the opposite: low dose, chronic, continuous, spanning years or decades. No approved agent has been designed, tested, or optimized for this exposure profile. This is not a marginal gap — it is a complete absence of protective pharmacology for one of the most consistently exposed worker populations on Earth.</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0"/>
          <w:szCs w:val="30"/>
        </w:rPr>
        <w:t xml:space="preserve">3. The Nature Signal: Radioresistance as Evolutionary Proof of Concept</w:t>
      </w:r>
    </w:p>
    <w:p>
      <w:pPr>
        <w:spacing w:after="80" w:before="80" w:line="276"/>
        <w:jc w:val="both"/>
      </w:pPr>
      <w:r>
        <w:rPr>
          <w:rFonts w:ascii="Georgia" w:cs="Georgia" w:eastAsia="Georgia" w:hAnsi="Georgia"/>
          <w:sz w:val="22"/>
          <w:szCs w:val="22"/>
        </w:rPr>
        <w:t xml:space="preserve">The Presignal methodology begins by asking what nature has already solved. In the domain of ionizing radiation, the answer is unambiguous: the tardigrade.</w:t>
      </w:r>
    </w:p>
    <w:p>
      <w:pPr>
        <w:spacing w:after="80" w:before="80" w:line="276"/>
        <w:jc w:val="both"/>
      </w:pPr>
      <w:r>
        <w:rPr>
          <w:rFonts w:ascii="Georgia" w:cs="Georgia" w:eastAsia="Georgia" w:hAnsi="Georgia"/>
          <w:sz w:val="22"/>
          <w:szCs w:val="22"/>
        </w:rPr>
        <w:t xml:space="preserve">Tardigrades (phylum Tardigrada) are microscopic invertebrates with over 1,400 described species found across terrestrial, freshwater, and marine habitats. Their radioresistance is extraordinary. Ramazzottius varieornatus, among the most radiotolerant species, is capable of surviving more than 48 hours after exposure to 4,000 Gy — compared to the human lethal dose 50 (LD50) of approximately 4.5 Gy [8]. This represents a tolerance differential of roughly three orders of magnitude.</w:t>
      </w:r>
    </w:p>
    <w:p>
      <w:pPr>
        <w:spacing w:after="80" w:before="80" w:line="276"/>
        <w:jc w:val="both"/>
      </w:pPr>
      <w:r>
        <w:rPr>
          <w:rFonts w:ascii="Georgia" w:cs="Georgia" w:eastAsia="Georgia" w:hAnsi="Georgia"/>
          <w:sz w:val="22"/>
          <w:szCs w:val="22"/>
        </w:rPr>
        <w:t xml:space="preserve">The cockroach, often cited in popular accounts of radiation survival, exhibits a more modest advantage rooted in its slower cell reproduction cycle, which reduces susceptibility to acute radiation bursts [9]. Deinococcus radiodurans, a bacterium, achieves radioresistance through extraordinarily efficient DNA repair mechanisms including homologous recombinational repair and extended synthesis-dependent strand annealing [10]. Both are partial signals. The tardigrade's Dsup protein represents something categorically different: not faster repair after damage, but prevention of damage before it occurs.</w:t>
      </w:r>
    </w:p>
    <w:p>
      <w:pPr>
        <w:pStyle w:val="Heading2"/>
        <w:spacing w:after="80" w:before="240"/>
      </w:pPr>
      <w:r>
        <w:rPr>
          <w:rFonts w:ascii="Arial" w:cs="Arial" w:eastAsia="Arial" w:hAnsi="Arial"/>
          <w:b/>
          <w:bCs/>
          <w:color w:val="2E75B6"/>
          <w:sz w:val="26"/>
          <w:szCs w:val="26"/>
        </w:rPr>
        <w:t xml:space="preserve">3.1 The Dsup Mechanism</w:t>
      </w:r>
    </w:p>
    <w:p>
      <w:pPr>
        <w:spacing w:after="80" w:before="80" w:line="276"/>
        <w:jc w:val="both"/>
      </w:pPr>
      <w:r>
        <w:rPr>
          <w:rFonts w:ascii="Georgia" w:cs="Georgia" w:eastAsia="Georgia" w:hAnsi="Georgia"/>
          <w:sz w:val="22"/>
          <w:szCs w:val="22"/>
        </w:rPr>
        <w:t xml:space="preserve">The Damage Suppressor protein (Dsup), first characterized from the complete genome sequence of R. varieornatus, is a 445-residue, highly basic, intrinsically disordered protein that physically associates with nuclear DNA by binding to nucleosomes [11]. Its intrinsically disordered structure allows it to conform dynamically to DNA architecture, providing non-sequence-specific coverage across the genome [12].</w:t>
      </w:r>
    </w:p>
    <w:p>
      <w:pPr>
        <w:spacing w:after="80" w:before="80" w:line="276"/>
        <w:jc w:val="both"/>
      </w:pPr>
      <w:r>
        <w:rPr>
          <w:rFonts w:ascii="Georgia" w:cs="Georgia" w:eastAsia="Georgia" w:hAnsi="Georgia"/>
          <w:sz w:val="22"/>
          <w:szCs w:val="22"/>
        </w:rPr>
        <w:t xml:space="preserve">The protection Dsup confers is physical and preemptive: it shields DNA from direct ionizing radiation and from hydroxyl radical-mediated damage — the primary indirect mechanism by which ionizing radiation destroys cellular DNA [11]. Critically, analysis of the timing of DNA fragmentation suppression in irradiated cells expressing Dsup confirmed that the reduction in strand breaks preceded any DNA repair activity, establishing that Dsup acts as a protectant, not a repair facilitator [13].</w:t>
      </w:r>
    </w:p>
    <w:p>
      <w:pPr>
        <w:spacing w:after="80" w:before="80" w:line="276"/>
        <w:jc w:val="both"/>
      </w:pPr>
      <w:r>
        <w:rPr>
          <w:rFonts w:ascii="Georgia" w:cs="Georgia" w:eastAsia="Georgia" w:hAnsi="Georgia"/>
          <w:sz w:val="22"/>
          <w:szCs w:val="22"/>
        </w:rPr>
        <w:t xml:space="preserve">A computational structural analysis confirmed that Dsup contains a region with sequence similarity to the nucleosome-binding domain of vertebrate High Mobility Group N (HMGN) proteins, providing mechanistic plausibility for its chromatin association in human cells [12].</w:t>
      </w:r>
    </w:p>
    <w:p>
      <w:pPr>
        <w:pStyle w:val="Heading2"/>
        <w:spacing w:after="80" w:before="240"/>
      </w:pPr>
      <w:r>
        <w:rPr>
          <w:rFonts w:ascii="Arial" w:cs="Arial" w:eastAsia="Arial" w:hAnsi="Arial"/>
          <w:b/>
          <w:bCs/>
          <w:color w:val="2E75B6"/>
          <w:sz w:val="26"/>
          <w:szCs w:val="26"/>
        </w:rPr>
        <w:t xml:space="preserve">3.2 Cross-Species Expression: The Human Cell Evidence</w:t>
      </w:r>
    </w:p>
    <w:p>
      <w:pPr>
        <w:spacing w:after="80" w:before="80" w:line="276"/>
        <w:jc w:val="both"/>
      </w:pPr>
      <w:r>
        <w:rPr>
          <w:rFonts w:ascii="Georgia" w:cs="Georgia" w:eastAsia="Georgia" w:hAnsi="Georgia"/>
          <w:sz w:val="22"/>
          <w:szCs w:val="22"/>
        </w:rPr>
        <w:t xml:space="preserve">The translational potential of Dsup was established through direct expression in human embryonic kidney cells (HEK293). Cells engineered to express Dsup showed approximately 40-50% suppression of X-ray-induced DNA double-strand breaks compared to controls, and retained proliferative capacity at doses (4 Gy) that ablate proliferation in wild-type mammalian cells [13]. Cells expressing Dsup also showed significant reduction in DNA fragmentation from hydrogen peroxide exposure, confirming protection against reactive oxygen species — the dominant mediator of radiation's indirect biological damage [11].</w:t>
      </w:r>
    </w:p>
    <w:p>
      <w:pPr>
        <w:spacing w:after="80" w:before="80" w:line="276"/>
        <w:jc w:val="both"/>
      </w:pPr>
      <w:r>
        <w:rPr>
          <w:rFonts w:ascii="Georgia" w:cs="Georgia" w:eastAsia="Georgia" w:hAnsi="Georgia"/>
          <w:sz w:val="22"/>
          <w:szCs w:val="22"/>
        </w:rPr>
        <w:t xml:space="preserve">Subsequent studies have extended this finding across multiple model systems. Expression of Dsup in Drosophila melanogaster increased survival rates, median lifespan, maximum lifespan, and age of 90% mortality following gamma-ray irradiation [14]. In October 2025, transgenic Caenorhabditis elegans expressing R. varieornatus Dsup tolerated X-ray exposure and oxidative stress without apparent toxicity and exhibited notable lifespan extension [15]. In yeast, Dsup expression conferred multivalent chromatin binding that promoted survival and longevity under oxidative damage, establishing mechanistic precedent across eukaryotic kingdoms [8].</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0"/>
          <w:szCs w:val="30"/>
        </w:rPr>
        <w:t xml:space="preserve">4. The Delivery Breakthrough: mRNA Nanoparticles Solve the Administration Problem</w:t>
      </w:r>
    </w:p>
    <w:p>
      <w:pPr>
        <w:spacing w:after="80" w:before="80" w:line="276"/>
        <w:jc w:val="both"/>
      </w:pPr>
      <w:r>
        <w:rPr>
          <w:rFonts w:ascii="Georgia" w:cs="Georgia" w:eastAsia="Georgia" w:hAnsi="Georgia"/>
          <w:sz w:val="22"/>
          <w:szCs w:val="22"/>
        </w:rPr>
        <w:t xml:space="preserve">The principal translational barrier to Dsup-based human radioprotection has been delivery: how to introduce a non-human protein into human tissues transiently, safely, and without genomic integration. The mRNA therapeutic platform — validated globally through COVID-19 vaccine deployment — has now provided the solution.</w:t>
      </w:r>
    </w:p>
    <w:p>
      <w:pPr>
        <w:spacing w:after="80" w:before="80" w:line="276"/>
        <w:jc w:val="both"/>
      </w:pPr>
      <w:r>
        <w:rPr>
          <w:rFonts w:ascii="Georgia" w:cs="Georgia" w:eastAsia="Georgia" w:hAnsi="Georgia"/>
          <w:sz w:val="22"/>
          <w:szCs w:val="22"/>
        </w:rPr>
        <w:t xml:space="preserve">In a 2025 study from MIT, Brigham and Women's Hospital, and the University of Iowa, Dsup mRNA was encapsulated in polymer-lipid nanoparticles and delivered to mouse mucosal tissues in an oral cancer model [16]. The nanoparticles achieved tissue-targeted expression, producing sufficient Dsup protein to reduce radiation-induced DNA damage in normal cells by approximately 50%, while leaving tumor tissue unprotected — an ideal profile for radiotherapy adjunct use, and a critical proof that tissue-targeted Dsup expression is achievable in living mammalian systems [16].</w:t>
      </w:r>
    </w:p>
    <w:p>
      <w:pPr>
        <w:spacing w:after="80" w:before="80" w:line="276"/>
        <w:jc w:val="both"/>
      </w:pPr>
      <w:r>
        <w:rPr>
          <w:rFonts w:ascii="Georgia" w:cs="Georgia" w:eastAsia="Georgia" w:hAnsi="Georgia"/>
          <w:sz w:val="22"/>
          <w:szCs w:val="22"/>
        </w:rPr>
        <w:t xml:space="preserve">The mRNA delivery approach circumvents the two primary concerns with protein-based or gene-therapy approaches: immunogenicity from sustained foreign protein expression, and genomic integration risk from viral vectors. Transient mRNA expression produces Dsup protein for a defined window, after which expression ceases and the protein is degraded through normal cellular turnover [17]. This transient profile is, notably, well-suited to the occupational exposure scenario — protection could in principle be administered on a scheduled basis aligned with high-exposure work periods.</w:t>
      </w:r>
    </w:p>
    <w:p>
      <w:pPr>
        <w:spacing w:after="80" w:before="80" w:line="276"/>
        <w:jc w:val="both"/>
      </w:pPr>
      <w:r>
        <w:rPr>
          <w:rFonts w:ascii="Georgia" w:cs="Georgia" w:eastAsia="Georgia" w:hAnsi="Georgia"/>
          <w:sz w:val="22"/>
          <w:szCs w:val="22"/>
        </w:rPr>
        <w:t xml:space="preserve">A November 2025 review in Frontiers in Pharmacology characterized the broader landscape of tardigrade-inspired radioprotectants under development, including recombinant Dsup variants, peptidomimetic derivatives of intrinsically disordered motifs, and biomimetic nanomaterials, while identifying scalable delivery, immunogenicity management, and tissue targeting as the primary remaining technical challenges [17].</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0"/>
          <w:szCs w:val="30"/>
        </w:rPr>
        <w:t xml:space="preserve">5. The Presignal Gap: An Unaddressed Population</w:t>
      </w:r>
    </w:p>
    <w:p>
      <w:pPr>
        <w:spacing w:after="80" w:before="80" w:line="276"/>
        <w:jc w:val="both"/>
      </w:pPr>
      <w:r>
        <w:rPr>
          <w:rFonts w:ascii="Georgia" w:cs="Georgia" w:eastAsia="Georgia" w:hAnsi="Georgia"/>
          <w:sz w:val="22"/>
          <w:szCs w:val="22"/>
        </w:rPr>
        <w:t xml:space="preserve">The convergence identified in Sections 1-4 defines a specific, documented, and currently unaddressed research gap:</w:t>
      </w:r>
    </w:p>
    <w:p>
      <w:pPr>
        <w:spacing w:after="80" w:before="80" w:line="276"/>
        <w:jc w:val="both"/>
      </w:pPr>
      <w:r>
        <w:rPr>
          <w:rFonts w:ascii="Georgia" w:cs="Georgia" w:eastAsia="Georgia" w:hAnsi="Georgia"/>
          <w:i w:val="false"/>
          <w:iCs w:val="false"/>
          <w:sz w:val="22"/>
          <w:szCs w:val="22"/>
        </w:rPr>
        <w:t xml:space="preserve">Every published study of Dsup-based radioprotection has been conducted in the context of cancer radiotherapy </w:t>
      </w:r>
      <w:r>
        <w:rPr>
          <w:rFonts w:ascii="Georgia" w:cs="Georgia" w:eastAsia="Georgia" w:hAnsi="Georgia"/>
          <w:b/>
          <w:bCs/>
          <w:sz w:val="22"/>
          <w:szCs w:val="22"/>
        </w:rPr>
        <w:t xml:space="preserve">— high-dose, acute, single-institution, controlled clinical exposure.</w:t>
      </w:r>
    </w:p>
    <w:p>
      <w:pPr>
        <w:spacing w:after="80" w:before="80" w:line="276"/>
        <w:jc w:val="both"/>
      </w:pPr>
      <w:r>
        <w:rPr>
          <w:rFonts w:ascii="Georgia" w:cs="Georgia" w:eastAsia="Georgia" w:hAnsi="Georgia"/>
          <w:sz w:val="22"/>
          <w:szCs w:val="22"/>
        </w:rPr>
        <w:t xml:space="preserve">No published research has proposed, modeled, or tested Dsup-inspired prophylactic intervention for chronic low-dose occupational radiation exposure. This population — nuclear plant workers, industrial radiographers, medical imaging personnel — represents a fundamentally different biological challenge:</w:t>
      </w:r>
    </w:p>
    <w:p>
      <w:pPr>
        <w:spacing w:after="80" w:before="80" w:line="276"/>
        <w:jc w:val="both"/>
      </w:pPr>
      <w:r>
        <w:rPr>
          <w:rFonts w:ascii="Georgia" w:cs="Georgia" w:eastAsia="Georgia" w:hAnsi="Georgia"/>
          <w:sz w:val="22"/>
          <w:szCs w:val="22"/>
        </w:rPr>
        <w:t xml:space="preserve">Where cancer radiotherapy involves acute doses of 2-8 Gy in controlled fractions over weeks, occupational exposure involves cumulative doses of 10-200 mSv accumulated over years, across whole-body exposure profiles, in workers who must remain cognitively and physically functional throughout. The dose rate, exposure duration, tissue distribution, and functional constraints are categorically different from the radiotherapy context in which all existing Dsup research has been conducted.</w:t>
      </w:r>
    </w:p>
    <w:p>
      <w:pPr>
        <w:spacing w:after="80" w:before="80" w:line="276"/>
        <w:jc w:val="both"/>
      </w:pPr>
      <w:r>
        <w:rPr>
          <w:rFonts w:ascii="Georgia" w:cs="Georgia" w:eastAsia="Georgia" w:hAnsi="Georgia"/>
          <w:sz w:val="22"/>
          <w:szCs w:val="22"/>
        </w:rPr>
        <w:t xml:space="preserve">The Presignal Subtraction Framework classifies this as a Category I signal: a real phenomenon (occupational radiation harm), a real candidate mechanism (Dsup), validated delivery technology (mRNA nanoparticles), and a complete absence of translational research connecting them. The signal is isolated. The noise has been subtracted.</w:t>
      </w:r>
    </w:p>
    <w:p>
      <w:pPr>
        <w:pStyle w:val="Heading2"/>
        <w:spacing w:after="80" w:before="240"/>
      </w:pPr>
      <w:r>
        <w:rPr>
          <w:rFonts w:ascii="Arial" w:cs="Arial" w:eastAsia="Arial" w:hAnsi="Arial"/>
          <w:b/>
          <w:bCs/>
          <w:color w:val="2E75B6"/>
          <w:sz w:val="26"/>
          <w:szCs w:val="26"/>
        </w:rPr>
        <w:t xml:space="preserve">5.1 Proposed Research Agenda</w:t>
      </w:r>
    </w:p>
    <w:p>
      <w:pPr>
        <w:spacing w:after="80" w:before="80" w:line="276"/>
        <w:jc w:val="both"/>
      </w:pPr>
      <w:r>
        <w:rPr>
          <w:rFonts w:ascii="Georgia" w:cs="Georgia" w:eastAsia="Georgia" w:hAnsi="Georgia"/>
          <w:sz w:val="22"/>
          <w:szCs w:val="22"/>
        </w:rPr>
        <w:t xml:space="preserve">The following priority research directions are proposed:</w:t>
      </w:r>
    </w:p>
    <w:p>
      <w:pPr>
        <w:spacing w:after="80" w:before="80" w:line="276"/>
        <w:jc w:val="both"/>
      </w:pPr>
      <w:r>
        <w:rPr>
          <w:rFonts w:ascii="Georgia" w:cs="Georgia" w:eastAsia="Georgia" w:hAnsi="Georgia"/>
          <w:sz w:val="22"/>
          <w:szCs w:val="22"/>
        </w:rPr>
        <w:t xml:space="preserve">Priority 1 — Chronic low-dose Dsup efficacy profiling: Existing studies have tested Dsup at acute doses (2-12 Gy). Animal studies modeling chronic low-dose exposure (cumulative 50-200 mSv over weeks) with intermittent mRNA Dsup dosing are needed to establish whether protection extends across this fundamentally different exposure profile.</w:t>
      </w:r>
    </w:p>
    <w:p>
      <w:pPr>
        <w:spacing w:after="80" w:before="80" w:line="276"/>
        <w:jc w:val="both"/>
      </w:pPr>
      <w:r>
        <w:rPr>
          <w:rFonts w:ascii="Georgia" w:cs="Georgia" w:eastAsia="Georgia" w:hAnsi="Georgia"/>
          <w:sz w:val="22"/>
          <w:szCs w:val="22"/>
        </w:rPr>
        <w:t xml:space="preserve">Priority 2 — Pulmonary and systemic delivery optimization: Current nanoparticle formulations target mucosal tissues. Occupational whole-body exposure requires systemic or inhalational delivery routes. Formulation research targeting hematopoietic stem cells, lung parenchyma, and vascular endothelium — tissues most sensitive to chronic low-dose effects — is a critical gap.</w:t>
      </w:r>
    </w:p>
    <w:p>
      <w:pPr>
        <w:spacing w:after="80" w:before="80" w:line="276"/>
        <w:jc w:val="both"/>
      </w:pPr>
      <w:r>
        <w:rPr>
          <w:rFonts w:ascii="Georgia" w:cs="Georgia" w:eastAsia="Georgia" w:hAnsi="Georgia"/>
          <w:sz w:val="22"/>
          <w:szCs w:val="22"/>
        </w:rPr>
        <w:t xml:space="preserve">Priority 3 — Dosing schedule modeling: Unlike acute radiotherapy, occupational exposure is ongoing. A pharmacokinetic model for Dsup mRNA expression windows, degradation rates, and protective duration relative to occupational exposure schedules (shift rotation, reactor maintenance cycles) is required before any clinical translation is feasible.</w:t>
      </w:r>
    </w:p>
    <w:p>
      <w:pPr>
        <w:spacing w:after="80" w:before="80" w:line="276"/>
        <w:jc w:val="both"/>
      </w:pPr>
      <w:r>
        <w:rPr>
          <w:rFonts w:ascii="Georgia" w:cs="Georgia" w:eastAsia="Georgia" w:hAnsi="Georgia"/>
          <w:sz w:val="22"/>
          <w:szCs w:val="22"/>
        </w:rPr>
        <w:t xml:space="preserve">Priority 4 — Long-term safety characterization: The neurotoxicity concern identified in primary mammalian neurons [18] — where Dsup expression paradoxically promoted DNA double-strand breaks — must be fully characterized before any human deployment. Cell-type-specific effects require systematic mapping across all tissues relevant to occupational exposure.</w:t>
      </w:r>
    </w:p>
    <w:p>
      <w:pPr>
        <w:spacing w:after="80" w:before="80" w:line="276"/>
        <w:jc w:val="both"/>
      </w:pPr>
      <w:r>
        <w:rPr>
          <w:rFonts w:ascii="Georgia" w:cs="Georgia" w:eastAsia="Georgia" w:hAnsi="Georgia"/>
          <w:sz w:val="22"/>
          <w:szCs w:val="22"/>
        </w:rPr>
        <w:t xml:space="preserve">Priority 5 — Biomarker integration: The chromosomal aberration data available from occupational dosimetry cohorts [3] provides an existing biological monitoring framework. Studies pairing Dsup prophylaxis with chromosomal aberration biomarker tracking in occupationally exposed cohorts would generate both efficacy and safety data simultaneously.</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0"/>
          <w:szCs w:val="30"/>
        </w:rPr>
        <w:t xml:space="preserve">6. Conclusion</w:t>
      </w:r>
    </w:p>
    <w:p>
      <w:pPr>
        <w:spacing w:after="80" w:before="80" w:line="276"/>
        <w:jc w:val="both"/>
      </w:pPr>
      <w:r>
        <w:rPr>
          <w:rFonts w:ascii="Georgia" w:cs="Georgia" w:eastAsia="Georgia" w:hAnsi="Georgia"/>
          <w:sz w:val="22"/>
          <w:szCs w:val="22"/>
        </w:rPr>
        <w:t xml:space="preserve">The tardigrade does not know it is solving a human problem. Evolution, operating over hundreds of millions of years, produced a protein that physically wraps around DNA and prevents radiation from breaking it. Human researchers discovered this protein, expressed it in human cells, and demonstrated that it works. A separate research community demonstrated that mRNA nanoparticles can deliver transient protein expression to targeted tissues in living mammals. These two discoveries have not yet been connected to the most consistently radiation-exposed civilian population on Earth: the workers who maintain nuclear infrastructure.</w:t>
      </w:r>
    </w:p>
    <w:p>
      <w:pPr>
        <w:spacing w:after="80" w:before="80" w:line="276"/>
        <w:jc w:val="both"/>
      </w:pPr>
      <w:r>
        <w:rPr>
          <w:rFonts w:ascii="Georgia" w:cs="Georgia" w:eastAsia="Georgia" w:hAnsi="Georgia"/>
          <w:sz w:val="22"/>
          <w:szCs w:val="22"/>
        </w:rPr>
        <w:t xml:space="preserve">This preprint makes that connection explicit. The occupational health literature documents real harm. The pharmacological landscape offers no adequate prophylactic solution. The biological and delivery science to address this gap now exists in published, peer-reviewed form. What remains is the research will to apply it.</w:t>
      </w:r>
    </w:p>
    <w:p>
      <w:pPr>
        <w:spacing w:after="80" w:before="80" w:line="276"/>
        <w:jc w:val="both"/>
      </w:pPr>
      <w:r>
        <w:rPr>
          <w:rFonts w:ascii="Georgia" w:cs="Georgia" w:eastAsia="Georgia" w:hAnsi="Georgia"/>
          <w:sz w:val="22"/>
          <w:szCs w:val="22"/>
        </w:rPr>
        <w:t xml:space="preserve">The Presignal Research Initiative calls for targeted funding and collaborative research to advance Dsup-inspired mRNA prophylaxis from the cancer radiotherapy context into the occupational radiation protection context. The workers who enter high-flux environments to maintain civilization's energy infrastructure deserve biological protection equivalent to the physical shielding they are already provided. Nature has supplied the blueprint. The science is ready to be built.</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30"/>
          <w:szCs w:val="30"/>
        </w:rPr>
        <w:t xml:space="preserve">References</w:t>
      </w:r>
    </w:p>
    <w:p>
      <w:pPr>
        <w:spacing w:after="40" w:before="40" w:line="240"/>
        <w:ind w:left="720" w:hanging="360"/>
        <w:jc w:val="both"/>
      </w:pPr>
      <w:r>
        <w:rPr>
          <w:rFonts w:ascii="Arial" w:cs="Arial" w:eastAsia="Arial" w:hAnsi="Arial"/>
          <w:b/>
          <w:bCs/>
          <w:sz w:val="20"/>
          <w:szCs w:val="20"/>
        </w:rPr>
        <w:t xml:space="preserve">[1] </w:t>
      </w:r>
      <w:r>
        <w:rPr>
          <w:rFonts w:ascii="Georgia" w:cs="Georgia" w:eastAsia="Georgia" w:hAnsi="Georgia"/>
          <w:sz w:val="20"/>
          <w:szCs w:val="20"/>
        </w:rPr>
        <w:t xml:space="preserve">Lam, C.T., et al. (2024). Health Effects of Occupational and Environmental Exposures to Nuclear Power Plants: A Meta-Analysis and Meta-Regression. Current Environmental Health Reports. https://doi.org/10.1007/s40572-024-00453-8</w:t>
      </w:r>
    </w:p>
    <w:p>
      <w:pPr>
        <w:spacing w:after="40" w:before="40" w:line="240"/>
        <w:ind w:left="720" w:hanging="360"/>
        <w:jc w:val="both"/>
      </w:pPr>
      <w:r>
        <w:rPr>
          <w:rFonts w:ascii="Arial" w:cs="Arial" w:eastAsia="Arial" w:hAnsi="Arial"/>
          <w:b/>
          <w:bCs/>
          <w:sz w:val="20"/>
          <w:szCs w:val="20"/>
        </w:rPr>
        <w:t xml:space="preserve">[2] </w:t>
      </w:r>
      <w:r>
        <w:rPr>
          <w:rFonts w:ascii="Georgia" w:cs="Georgia" w:eastAsia="Georgia" w:hAnsi="Georgia"/>
          <w:sz w:val="20"/>
          <w:szCs w:val="20"/>
        </w:rPr>
        <w:t xml:space="preserve">Gravel, S., et al. (2025). Exposure to protracted low-dose ionizing radiation and incident dementia in a cohort of Ontario nuclear power plant workers. PMC12591044. https://pmc.ncbi.nlm.nih.gov/articles/PMC12591044/</w:t>
      </w:r>
    </w:p>
    <w:p>
      <w:pPr>
        <w:spacing w:after="40" w:before="40" w:line="240"/>
        <w:ind w:left="720" w:hanging="360"/>
        <w:jc w:val="both"/>
      </w:pPr>
      <w:r>
        <w:rPr>
          <w:rFonts w:ascii="Arial" w:cs="Arial" w:eastAsia="Arial" w:hAnsi="Arial"/>
          <w:b/>
          <w:bCs/>
          <w:sz w:val="20"/>
          <w:szCs w:val="20"/>
        </w:rPr>
        <w:t xml:space="preserve">[3] </w:t>
      </w:r>
      <w:r>
        <w:rPr>
          <w:rFonts w:ascii="Georgia" w:cs="Georgia" w:eastAsia="Georgia" w:hAnsi="Georgia"/>
          <w:sz w:val="20"/>
          <w:szCs w:val="20"/>
        </w:rPr>
        <w:t xml:space="preserve">Kim, J., et al. (2022). Chromosome Damage in Relation to Recent Radiation Exposure and Radiation Quality in Nuclear Power Plant Workers. PMC8878316. https://pmc.ncbi.nlm.nih.gov/articles/PMC8878316/</w:t>
      </w:r>
    </w:p>
    <w:p>
      <w:pPr>
        <w:spacing w:after="40" w:before="40" w:line="240"/>
        <w:ind w:left="720" w:hanging="360"/>
        <w:jc w:val="both"/>
      </w:pPr>
      <w:r>
        <w:rPr>
          <w:rFonts w:ascii="Arial" w:cs="Arial" w:eastAsia="Arial" w:hAnsi="Arial"/>
          <w:b/>
          <w:bCs/>
          <w:sz w:val="20"/>
          <w:szCs w:val="20"/>
        </w:rPr>
        <w:t xml:space="preserve">[4] </w:t>
      </w:r>
      <w:r>
        <w:rPr>
          <w:rFonts w:ascii="Georgia" w:cs="Georgia" w:eastAsia="Georgia" w:hAnsi="Georgia"/>
          <w:sz w:val="20"/>
          <w:szCs w:val="20"/>
        </w:rPr>
        <w:t xml:space="preserve">Radioprotectors.org: an open database of known and predicted radioprotectors. (2020). Aging. https://www.aging-us.com/article/103815/text</w:t>
      </w:r>
    </w:p>
    <w:p>
      <w:pPr>
        <w:spacing w:after="40" w:before="40" w:line="240"/>
        <w:ind w:left="720" w:hanging="360"/>
        <w:jc w:val="both"/>
      </w:pPr>
      <w:r>
        <w:rPr>
          <w:rFonts w:ascii="Arial" w:cs="Arial" w:eastAsia="Arial" w:hAnsi="Arial"/>
          <w:b/>
          <w:bCs/>
          <w:sz w:val="20"/>
          <w:szCs w:val="20"/>
        </w:rPr>
        <w:t xml:space="preserve">[5] </w:t>
      </w:r>
      <w:r>
        <w:rPr>
          <w:rFonts w:ascii="Georgia" w:cs="Georgia" w:eastAsia="Georgia" w:hAnsi="Georgia"/>
          <w:sz w:val="20"/>
          <w:szCs w:val="20"/>
        </w:rPr>
        <w:t xml:space="preserve">Koukourakis, M.I. (2021). Radioprotectors, Radiomitigators, and Radiosensitizers. In: Radiation Oncology. Springer. https://doi.org/10.1007/978-3-031-18810-7_11</w:t>
      </w:r>
    </w:p>
    <w:p>
      <w:pPr>
        <w:spacing w:after="40" w:before="40" w:line="240"/>
        <w:ind w:left="720" w:hanging="360"/>
        <w:jc w:val="both"/>
      </w:pPr>
      <w:r>
        <w:rPr>
          <w:rFonts w:ascii="Arial" w:cs="Arial" w:eastAsia="Arial" w:hAnsi="Arial"/>
          <w:b/>
          <w:bCs/>
          <w:sz w:val="20"/>
          <w:szCs w:val="20"/>
        </w:rPr>
        <w:t xml:space="preserve">[6] </w:t>
      </w:r>
      <w:r>
        <w:rPr>
          <w:rFonts w:ascii="Georgia" w:cs="Georgia" w:eastAsia="Georgia" w:hAnsi="Georgia"/>
          <w:sz w:val="20"/>
          <w:szCs w:val="20"/>
        </w:rPr>
        <w:t xml:space="preserve">Singh, V.K., et al. (2019). The efficacy and safety of amifostine for the acute radiation syndrome. Expert Opinion on Drug Safety. https://doi.org/10.1080/14740338.2019.1666104</w:t>
      </w:r>
    </w:p>
    <w:p>
      <w:pPr>
        <w:spacing w:after="40" w:before="40" w:line="240"/>
        <w:ind w:left="720" w:hanging="360"/>
        <w:jc w:val="both"/>
      </w:pPr>
      <w:r>
        <w:rPr>
          <w:rFonts w:ascii="Arial" w:cs="Arial" w:eastAsia="Arial" w:hAnsi="Arial"/>
          <w:b/>
          <w:bCs/>
          <w:sz w:val="20"/>
          <w:szCs w:val="20"/>
        </w:rPr>
        <w:t xml:space="preserve">[7] </w:t>
      </w:r>
      <w:r>
        <w:rPr>
          <w:rFonts w:ascii="Georgia" w:cs="Georgia" w:eastAsia="Georgia" w:hAnsi="Georgia"/>
          <w:sz w:val="20"/>
          <w:szCs w:val="20"/>
        </w:rPr>
        <w:t xml:space="preserve">Kulkarni, S., et al. (2016). The potentiation of the radioprotective efficacy of two medical countermeasures, gamma-tocotrienol and amifostine, by a combination prophylactic modality. Radiation Protection Dosimetry, 172(1-3):302-310. https://doi.org/10.1093/rpd/ncw160</w:t>
      </w:r>
    </w:p>
    <w:p>
      <w:pPr>
        <w:spacing w:after="40" w:before="40" w:line="240"/>
        <w:ind w:left="720" w:hanging="360"/>
        <w:jc w:val="both"/>
      </w:pPr>
      <w:r>
        <w:rPr>
          <w:rFonts w:ascii="Arial" w:cs="Arial" w:eastAsia="Arial" w:hAnsi="Arial"/>
          <w:b/>
          <w:bCs/>
          <w:sz w:val="20"/>
          <w:szCs w:val="20"/>
        </w:rPr>
        <w:t xml:space="preserve">[8] </w:t>
      </w:r>
      <w:r>
        <w:rPr>
          <w:rFonts w:ascii="Georgia" w:cs="Georgia" w:eastAsia="Georgia" w:hAnsi="Georgia"/>
          <w:sz w:val="20"/>
          <w:szCs w:val="20"/>
        </w:rPr>
        <w:t xml:space="preserve">Kacprzyk, L.A., et al. (2025). Multivalent binding of the tardigrade Dsup protein to chromatin promotes yeast survival and longevity upon exposure to oxidative damage. Nature Communications. https://doi.org/10.1038/s41467-025-63652-3</w:t>
      </w:r>
    </w:p>
    <w:p>
      <w:pPr>
        <w:spacing w:after="40" w:before="40" w:line="240"/>
        <w:ind w:left="720" w:hanging="360"/>
        <w:jc w:val="both"/>
      </w:pPr>
      <w:r>
        <w:rPr>
          <w:rFonts w:ascii="Arial" w:cs="Arial" w:eastAsia="Arial" w:hAnsi="Arial"/>
          <w:b/>
          <w:bCs/>
          <w:sz w:val="20"/>
          <w:szCs w:val="20"/>
        </w:rPr>
        <w:t xml:space="preserve">[9] </w:t>
      </w:r>
      <w:r>
        <w:rPr>
          <w:rFonts w:ascii="Georgia" w:cs="Georgia" w:eastAsia="Georgia" w:hAnsi="Georgia"/>
          <w:sz w:val="20"/>
          <w:szCs w:val="20"/>
        </w:rPr>
        <w:t xml:space="preserve">Entomologist.net. (2025). Why Are Insects Resistant To Radiation. https://blog.entomologist.net/why-are-insects-resistant-to-radiation.html</w:t>
      </w:r>
    </w:p>
    <w:p>
      <w:pPr>
        <w:spacing w:after="40" w:before="40" w:line="240"/>
        <w:ind w:left="720" w:hanging="360"/>
        <w:jc w:val="both"/>
      </w:pPr>
      <w:r>
        <w:rPr>
          <w:rFonts w:ascii="Arial" w:cs="Arial" w:eastAsia="Arial" w:hAnsi="Arial"/>
          <w:b/>
          <w:bCs/>
          <w:sz w:val="20"/>
          <w:szCs w:val="20"/>
        </w:rPr>
        <w:t xml:space="preserve">[10] </w:t>
      </w:r>
      <w:r>
        <w:rPr>
          <w:rFonts w:ascii="Georgia" w:cs="Georgia" w:eastAsia="Georgia" w:hAnsi="Georgia"/>
          <w:sz w:val="20"/>
          <w:szCs w:val="20"/>
        </w:rPr>
        <w:t xml:space="preserve">Wikipedia contributors. (2025). Radioresistance. Wikipedia. https://en.wikipedia.org/wiki/Radioresistance</w:t>
      </w:r>
    </w:p>
    <w:p>
      <w:pPr>
        <w:spacing w:after="40" w:before="40" w:line="240"/>
        <w:ind w:left="720" w:hanging="360"/>
        <w:jc w:val="both"/>
      </w:pPr>
      <w:r>
        <w:rPr>
          <w:rFonts w:ascii="Arial" w:cs="Arial" w:eastAsia="Arial" w:hAnsi="Arial"/>
          <w:b/>
          <w:bCs/>
          <w:sz w:val="20"/>
          <w:szCs w:val="20"/>
        </w:rPr>
        <w:t xml:space="preserve">[11] </w:t>
      </w:r>
      <w:r>
        <w:rPr>
          <w:rFonts w:ascii="Georgia" w:cs="Georgia" w:eastAsia="Georgia" w:hAnsi="Georgia"/>
          <w:sz w:val="20"/>
          <w:szCs w:val="20"/>
        </w:rPr>
        <w:t xml:space="preserve">Hashimoto, T., &amp; Kunieda, T. (2017). DNA Protection Protein, a Novel Mechanism of Radiation Tolerance: Lessons from Tardigrades. Life, 7(2):26. https://doi.org/10.3390/life7020026. PMC5492148.</w:t>
      </w:r>
    </w:p>
    <w:p>
      <w:pPr>
        <w:spacing w:after="40" w:before="40" w:line="240"/>
        <w:ind w:left="720" w:hanging="360"/>
        <w:jc w:val="both"/>
      </w:pPr>
      <w:r>
        <w:rPr>
          <w:rFonts w:ascii="Arial" w:cs="Arial" w:eastAsia="Arial" w:hAnsi="Arial"/>
          <w:b/>
          <w:bCs/>
          <w:sz w:val="20"/>
          <w:szCs w:val="20"/>
        </w:rPr>
        <w:t xml:space="preserve">[12] </w:t>
      </w:r>
      <w:r>
        <w:rPr>
          <w:rFonts w:ascii="Georgia" w:cs="Georgia" w:eastAsia="Georgia" w:hAnsi="Georgia"/>
          <w:sz w:val="20"/>
          <w:szCs w:val="20"/>
        </w:rPr>
        <w:t xml:space="preserve">Minguez-Toral, M., et al. (2020). A computational structural study on the DNA-protecting role of the tardigrade-unique Dsup protein. Scientific Reports, 10:13765. https://doi.org/10.1038/s41598-020-70431-1</w:t>
      </w:r>
    </w:p>
    <w:p>
      <w:pPr>
        <w:spacing w:after="40" w:before="40" w:line="240"/>
        <w:ind w:left="720" w:hanging="360"/>
        <w:jc w:val="both"/>
      </w:pPr>
      <w:r>
        <w:rPr>
          <w:rFonts w:ascii="Arial" w:cs="Arial" w:eastAsia="Arial" w:hAnsi="Arial"/>
          <w:b/>
          <w:bCs/>
          <w:sz w:val="20"/>
          <w:szCs w:val="20"/>
        </w:rPr>
        <w:t xml:space="preserve">[13] </w:t>
      </w:r>
      <w:r>
        <w:rPr>
          <w:rFonts w:ascii="Georgia" w:cs="Georgia" w:eastAsia="Georgia" w:hAnsi="Georgia"/>
          <w:sz w:val="20"/>
          <w:szCs w:val="20"/>
        </w:rPr>
        <w:t xml:space="preserve">Chavez, C., et al. (2019). Cellular and organismal level analysis of Dsup expressing human cells and Caenorhabditis elegans reveal a new model for Dsup mediated radioprotection. bioRxiv. https://doi.org/10.1101/2020.11.10.373571</w:t>
      </w:r>
    </w:p>
    <w:p>
      <w:pPr>
        <w:spacing w:after="40" w:before="40" w:line="240"/>
        <w:ind w:left="720" w:hanging="360"/>
        <w:jc w:val="both"/>
      </w:pPr>
      <w:r>
        <w:rPr>
          <w:rFonts w:ascii="Arial" w:cs="Arial" w:eastAsia="Arial" w:hAnsi="Arial"/>
          <w:b/>
          <w:bCs/>
          <w:sz w:val="20"/>
          <w:szCs w:val="20"/>
        </w:rPr>
        <w:t xml:space="preserve">[14] </w:t>
      </w:r>
      <w:r>
        <w:rPr>
          <w:rFonts w:ascii="Georgia" w:cs="Georgia" w:eastAsia="Georgia" w:hAnsi="Georgia"/>
          <w:sz w:val="20"/>
          <w:szCs w:val="20"/>
        </w:rPr>
        <w:t xml:space="preserve">Zarubin, A., et al. (2023). The tardigrade Dsup protein enhances radioresistance in Drosophila melanogaster. iScience. https://doi.org/10.1016/j.isci.2023.107823</w:t>
      </w:r>
    </w:p>
    <w:p>
      <w:pPr>
        <w:spacing w:after="40" w:before="40" w:line="240"/>
        <w:ind w:left="720" w:hanging="360"/>
        <w:jc w:val="both"/>
      </w:pPr>
      <w:r>
        <w:rPr>
          <w:rFonts w:ascii="Arial" w:cs="Arial" w:eastAsia="Arial" w:hAnsi="Arial"/>
          <w:b/>
          <w:bCs/>
          <w:sz w:val="20"/>
          <w:szCs w:val="20"/>
        </w:rPr>
        <w:t xml:space="preserve">[15] </w:t>
      </w:r>
      <w:r>
        <w:rPr>
          <w:rFonts w:ascii="Georgia" w:cs="Georgia" w:eastAsia="Georgia" w:hAnsi="Georgia"/>
          <w:sz w:val="20"/>
          <w:szCs w:val="20"/>
        </w:rPr>
        <w:t xml:space="preserve">Richaud, M., et al. (2025). Tardigrade Dsup extends C. elegans life span by impeding mitochondrial respiration and promoting oxidative stress resistance. Science Advances. https://doi.org/10.1126/sciadv.adx9669. PMC12577708.</w:t>
      </w:r>
    </w:p>
    <w:p>
      <w:pPr>
        <w:spacing w:after="40" w:before="40" w:line="240"/>
        <w:ind w:left="720" w:hanging="360"/>
        <w:jc w:val="both"/>
      </w:pPr>
      <w:r>
        <w:rPr>
          <w:rFonts w:ascii="Arial" w:cs="Arial" w:eastAsia="Arial" w:hAnsi="Arial"/>
          <w:b/>
          <w:bCs/>
          <w:sz w:val="20"/>
          <w:szCs w:val="20"/>
        </w:rPr>
        <w:t xml:space="preserve">[16] </w:t>
      </w:r>
      <w:r>
        <w:rPr>
          <w:rFonts w:ascii="Georgia" w:cs="Georgia" w:eastAsia="Georgia" w:hAnsi="Georgia"/>
          <w:sz w:val="20"/>
          <w:szCs w:val="20"/>
        </w:rPr>
        <w:t xml:space="preserve">Kirtane, A.R., et al. (2025). Dsup mRNA nanoparticle delivery for radioprotection in mucosal tissues. MIT/Brigham and Women's Hospital/University of Iowa. MIT News: https://news.mit.edu/2025/tiny-tardigrades-protein-may-help-cancer-patients-tolerate-radiation-therapy-0226</w:t>
      </w:r>
    </w:p>
    <w:p>
      <w:pPr>
        <w:spacing w:after="40" w:before="40" w:line="240"/>
        <w:ind w:left="720" w:hanging="360"/>
        <w:jc w:val="both"/>
      </w:pPr>
      <w:r>
        <w:rPr>
          <w:rFonts w:ascii="Arial" w:cs="Arial" w:eastAsia="Arial" w:hAnsi="Arial"/>
          <w:b/>
          <w:bCs/>
          <w:sz w:val="20"/>
          <w:szCs w:val="20"/>
        </w:rPr>
        <w:t xml:space="preserve">[17] </w:t>
      </w:r>
      <w:r>
        <w:rPr>
          <w:rFonts w:ascii="Georgia" w:cs="Georgia" w:eastAsia="Georgia" w:hAnsi="Georgia"/>
          <w:sz w:val="20"/>
          <w:szCs w:val="20"/>
        </w:rPr>
        <w:t xml:space="preserve">Frontiers in Pharmacology. (2025). Radioprotection redefined: drug discovery at the intersection of tardigrade biology and translational pharmacology. https://doi.org/10.3389/fphar.2025.1713914</w:t>
      </w:r>
    </w:p>
    <w:p>
      <w:pPr>
        <w:spacing w:after="40" w:before="40" w:line="240"/>
        <w:ind w:left="720" w:hanging="360"/>
        <w:jc w:val="both"/>
      </w:pPr>
      <w:r>
        <w:rPr>
          <w:rFonts w:ascii="Arial" w:cs="Arial" w:eastAsia="Arial" w:hAnsi="Arial"/>
          <w:b/>
          <w:bCs/>
          <w:sz w:val="20"/>
          <w:szCs w:val="20"/>
        </w:rPr>
        <w:t xml:space="preserve">[18] </w:t>
      </w:r>
      <w:r>
        <w:rPr>
          <w:rFonts w:ascii="Georgia" w:cs="Georgia" w:eastAsia="Georgia" w:hAnsi="Georgia"/>
          <w:sz w:val="20"/>
          <w:szCs w:val="20"/>
        </w:rPr>
        <w:t xml:space="preserve">Boija, A., et al. (2023). The Tardigrade damage suppressor protein Dsup promotes DNA damage in neurons. PMC10247392. https://pmc.ncbi.nlm.nih.gov/articles/PMC10247392/</w:t>
      </w:r>
    </w:p>
    <w:p>
      <w:pPr>
        <w:spacing w:after="120" w:before="0"/>
      </w:pPr>
      <w:r>
        <w:t xml:space="preserve"/>
      </w:r>
    </w:p>
    <w:p>
      <w:pPr>
        <w:pBdr>
          <w:top w:val="single" w:color="2E75B6" w:sz="4" w:space="6"/>
        </w:pBdr>
        <w:spacing w:after="80" w:before="240"/>
      </w:pPr>
      <w:r>
        <w:rPr>
          <w:rFonts w:ascii="Arial" w:cs="Arial" w:eastAsia="Arial" w:hAnsi="Arial"/>
          <w:b/>
          <w:bCs/>
          <w:color w:val="1F4E79"/>
          <w:sz w:val="22"/>
          <w:szCs w:val="22"/>
        </w:rPr>
        <w:t xml:space="preserve">Disclosures &amp; Declaration</w:t>
      </w:r>
    </w:p>
    <w:p>
      <w:pPr>
        <w:spacing w:after="80" w:before="80" w:line="276"/>
        <w:jc w:val="both"/>
      </w:pPr>
      <w:r>
        <w:rPr>
          <w:rFonts w:ascii="Georgia" w:cs="Georgia" w:eastAsia="Georgia" w:hAnsi="Georgia"/>
          <w:sz w:val="22"/>
          <w:szCs w:val="22"/>
        </w:rPr>
        <w:t xml:space="preserve">Competing interests: None declared. This preprint was produced independently by Presignal Research Initiative (Presignal Inc., Ontario Corporation No. 1001577205). No funding was received from pharmaceutical, nuclear industry, or government sources for this work. The author declares no conflict of interest.</w:t>
      </w:r>
    </w:p>
    <w:p>
      <w:pPr>
        <w:spacing w:after="80" w:before="80" w:line="276"/>
        <w:jc w:val="both"/>
      </w:pPr>
      <w:r>
        <w:rPr>
          <w:rFonts w:ascii="Georgia" w:cs="Georgia" w:eastAsia="Georgia" w:hAnsi="Georgia"/>
          <w:sz w:val="22"/>
          <w:szCs w:val="22"/>
        </w:rPr>
        <w:t xml:space="preserve">AI assistance: Portions of the literature synthesis and document preparation were conducted with the assistance of Claude (Anthropic), operating in a co-authorship research capacity consistent with Presignal methodology. All scientific claims, framing, and conclusions are the responsibility of the named author.</w:t>
      </w:r>
    </w:p>
    <w:p>
      <w:pPr>
        <w:spacing w:after="80" w:before="80" w:line="276"/>
        <w:jc w:val="both"/>
      </w:pPr>
      <w:r>
        <w:rPr>
          <w:rFonts w:ascii="Georgia" w:cs="Georgia" w:eastAsia="Georgia" w:hAnsi="Georgia"/>
          <w:sz w:val="22"/>
          <w:szCs w:val="22"/>
        </w:rPr>
        <w:t xml:space="preserve">This document is a preprint and has not been peer reviewed. It is made available to communicate findings and stimulate scientific discussion.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Carter, J.E. (2026). From Water Bears to Nuclear Workers. Presignal Inc., Ontario, Canada.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95959"/>
        <w:sz w:val="18"/>
        <w:szCs w:val="18"/>
      </w:rPr>
      <w:t xml:space="preserve">PRESIGNAL RESEARCH INITIATIVE  |  PREPRINT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2026-05-14T03:22:43.901Z</dcterms:created>
  <dcterms:modified xsi:type="dcterms:W3CDTF">2026-05-14T03:22:43.901Z</dcterms:modified>
</cp:coreProperties>
</file>

<file path=docProps/custom.xml><?xml version="1.0" encoding="utf-8"?>
<Properties xmlns="http://schemas.openxmlformats.org/officeDocument/2006/custom-properties" xmlns:vt="http://schemas.openxmlformats.org/officeDocument/2006/docPropsVTypes"/>
</file>