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80" w:before="0"/>
        <w:jc w:val="center"/>
      </w:pPr>
      <w:r>
        <w:rPr>
          <w:rFonts w:ascii="Arial" w:cs="Arial" w:eastAsia="Arial" w:hAnsi="Arial"/>
          <w:b/>
          <w:bCs/>
          <w:caps/>
          <w:color w:val="2E7D9E"/>
          <w:sz w:val="20"/>
          <w:szCs w:val="20"/>
        </w:rPr>
        <w:t xml:space="preserve">PRESIGNAL RESEARCH INITIATIVE</w:t>
      </w:r>
    </w:p>
    <w:p>
      <w:pPr>
        <w:spacing w:after="60" w:before="0"/>
        <w:jc w:val="center"/>
      </w:pPr>
      <w:r>
        <w:rPr>
          <w:rFonts w:ascii="Arial" w:cs="Arial" w:eastAsia="Arial" w:hAnsi="Arial"/>
          <w:color w:val="666666"/>
          <w:sz w:val="20"/>
          <w:szCs w:val="20"/>
        </w:rPr>
        <w:t xml:space="preserve">Concept Preprint  |  May 2026</w:t>
      </w:r>
    </w:p>
    <w:p>
      <w:pPr>
        <w:pBdr>
          <w:bottom w:val="single" w:color="1B3A5C" w:sz="6" w:space="1"/>
        </w:pBdr>
        <w:spacing w:after="60" w:before="60"/>
      </w:pPr>
      <w:r>
        <w:t xml:space="preserve"/>
      </w:r>
    </w:p>
    <w:p>
      <w:pPr>
        <w:spacing w:after="60" w:before="60"/>
      </w:pPr>
      <w:r>
        <w:t xml:space="preserve"/>
      </w:r>
    </w:p>
    <w:p>
      <w:pPr>
        <w:spacing w:after="60" w:before="120"/>
        <w:jc w:val="center"/>
      </w:pPr>
      <w:r>
        <w:rPr>
          <w:rFonts w:ascii="Georgia" w:cs="Georgia" w:eastAsia="Georgia" w:hAnsi="Georgia"/>
          <w:b/>
          <w:bCs/>
          <w:color w:val="1B3A5C"/>
          <w:sz w:val="52"/>
          <w:szCs w:val="52"/>
        </w:rPr>
        <w:t xml:space="preserve">The Vertical Arcology Hydraulic Spine</w:t>
      </w:r>
    </w:p>
    <w:p>
      <w:pPr>
        <w:spacing w:after="120" w:before="0"/>
        <w:jc w:val="center"/>
      </w:pPr>
      <w:r>
        <w:rPr>
          <w:rFonts w:ascii="Georgia" w:cs="Georgia" w:eastAsia="Georgia" w:hAnsi="Georgia"/>
          <w:b/>
          <w:bCs/>
          <w:color w:val="2E7D9E"/>
          <w:sz w:val="48"/>
          <w:szCs w:val="48"/>
        </w:rPr>
        <w:t xml:space="preserve">(VAHS)</w:t>
      </w:r>
    </w:p>
    <w:p>
      <w:pPr>
        <w:spacing w:after="240" w:before="60"/>
        <w:jc w:val="center"/>
      </w:pPr>
      <w:r>
        <w:rPr>
          <w:rFonts w:ascii="Georgia" w:cs="Georgia" w:eastAsia="Georgia" w:hAnsi="Georgia"/>
          <w:i/>
          <w:iCs/>
          <w:color w:val="333333"/>
          <w:sz w:val="28"/>
          <w:szCs w:val="28"/>
        </w:rPr>
        <w:t xml:space="preserve">A Theoretical Energy Architecture for Closed-Loop Megastructure Integration</w:t>
      </w:r>
    </w:p>
    <w:p>
      <w:pPr>
        <w:pBdr>
          <w:bottom w:val="single" w:color="2E7D9E" w:sz="6" w:space="1"/>
        </w:pBdr>
        <w:spacing w:after="60" w:before="60"/>
      </w:pPr>
      <w:r>
        <w:t xml:space="preserve"/>
      </w:r>
    </w:p>
    <w:p>
      <w:pPr>
        <w:spacing w:after="60" w:before="60"/>
      </w:pPr>
      <w:r>
        <w:t xml:space="preserve"/>
      </w:r>
    </w:p>
    <w:p>
      <w:pPr>
        <w:spacing w:after="60" w:before="120"/>
        <w:jc w:val="center"/>
      </w:pPr>
      <w:r>
        <w:rPr>
          <w:rFonts w:ascii="Arial" w:cs="Arial" w:eastAsia="Arial" w:hAnsi="Arial"/>
          <w:b/>
          <w:bCs/>
          <w:color w:val="1B3A5C"/>
          <w:sz w:val="26"/>
          <w:szCs w:val="26"/>
        </w:rPr>
        <w:t xml:space="preserve">John Ernest Carter</w:t>
      </w:r>
    </w:p>
    <w:p>
      <w:pPr>
        <w:spacing w:after="60" w:before="0"/>
        <w:jc w:val="center"/>
      </w:pPr>
      <w:r>
        <w:rPr>
          <w:rFonts w:ascii="Arial" w:cs="Arial" w:eastAsia="Arial" w:hAnsi="Arial"/>
          <w:color w:val="555555"/>
          <w:sz w:val="22"/>
          <w:szCs w:val="22"/>
        </w:rPr>
        <w:t xml:space="preserve">Presignal Inc., Niagara Region, Ontario, Canada</w:t>
      </w:r>
    </w:p>
    <w:p>
      <w:pPr>
        <w:spacing w:after="60" w:before="0"/>
        <w:jc w:val="center"/>
      </w:pPr>
      <w:r>
        <w:rPr>
          <w:rFonts w:ascii="Arial" w:cs="Arial" w:eastAsia="Arial" w:hAnsi="Arial"/>
          <w:color w:val="2E7D9E"/>
          <w:sz w:val="20"/>
          <w:szCs w:val="20"/>
        </w:rPr>
        <w:t xml:space="preserve">ORCID: 0009-0004-1363-304X  |  jubecrew@gmail.com</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9E" w:sz="1"/>
              <w:left w:val="single" w:color="2E7D9E" w:sz="1"/>
              <w:bottom w:val="single" w:color="2E7D9E" w:sz="1"/>
              <w:right w:val="single" w:color="2E7D9E" w:sz="1"/>
            </w:tcBorders>
            <w:shd w:fill="EAF3F8" w:val="clear"/>
            <w:tcMar>
              <w:top w:type="dxa" w:w="120"/>
              <w:left w:type="dxa" w:w="180"/>
              <w:bottom w:type="dxa" w:w="120"/>
              <w:right w:type="dxa" w:w="180"/>
            </w:tcMar>
          </w:tcPr>
          <w:p>
            <w:pPr>
              <w:spacing w:after="60" w:before="60"/>
            </w:pPr>
            <w:r>
              <w:rPr>
                <w:rFonts w:ascii="Arial" w:cs="Arial" w:eastAsia="Arial" w:hAnsi="Arial"/>
                <w:b/>
                <w:bCs/>
                <w:color w:val="1B3A5C"/>
                <w:sz w:val="22"/>
                <w:szCs w:val="22"/>
              </w:rPr>
              <w:t xml:space="preserve">ABSTRACT</w:t>
            </w:r>
          </w:p>
          <w:p>
            <w:pPr>
              <w:spacing w:after="60" w:before="60" w:line="276"/>
            </w:pPr>
            <w:r>
              <w:rPr>
                <w:rFonts w:ascii="Georgia" w:cs="Georgia" w:eastAsia="Georgia" w:hAnsi="Georgia"/>
                <w:sz w:val="22"/>
                <w:szCs w:val="22"/>
              </w:rPr>
              <w:t xml:space="preserve">This paper introduces the Vertical Arcology Hydraulic Spine (VAHS), a novel theoretical energy architecture in which the vertical height of a megastructure functions simultaneously as inhabited space, hydraulic generation head, gravity battery, municipal water infrastructure, and atmospheric water harvesting system. Applying the standard hydraulic power equation to head heights of 500m to 2,000m, we demonstrate that modest flow rates produce utility-scale power outputs comparable to major hydroelectric installations. At 2,000 meters head and 100 cubic meters per second, theoretical output reaches 1,766 MW — rivaling the Robert Moses Niagara Power Plant using less than five percent of its flow volume. The Bieudron Power Station in Switzerland, currently operating at a world-record 1,883 meters head, confirms that Pelton wheel efficiency of 90 percent or greater is achievable at these pressures. The VAHS extends the recently proposed SOM-Energy Vault EVc building-integrated pumped storage concept by introducing atmospheric water harvesting at sky-tier elevation as the primary water source, providing free solar-cycle potential energy and fundamentally altering the thermodynamic accounting from pure storage to conditional net generation. The paper identifies this synthesis as genuinely novel territory, absent from existing peer-reviewed literature, and presents a research agenda for validation through computational fluid dynamics modeling, thermodynamic lifecycle analysis, and scaled prototype testing.</w:t>
            </w:r>
          </w:p>
        </w:tc>
      </w:tr>
    </w:tbl>
    <w:p>
      <w:pPr>
        <w:spacing w:after="60" w:before="60"/>
      </w:pPr>
      <w:r>
        <w:t xml:space="preserve"/>
      </w:r>
    </w:p>
    <w:p>
      <w:pPr>
        <w:spacing w:after="60" w:before="60" w:line="276"/>
        <w:jc w:val="left"/>
      </w:pPr>
      <w:r>
        <w:rPr>
          <w:rFonts w:ascii="Arial" w:cs="Arial" w:eastAsia="Arial" w:hAnsi="Arial"/>
          <w:b/>
          <w:bCs/>
          <w:color w:val="1B3A5C"/>
          <w:sz w:val="20"/>
          <w:szCs w:val="20"/>
        </w:rPr>
        <w:t xml:space="preserve">Keywords: </w:t>
      </w:r>
      <w:r>
        <w:rPr>
          <w:rFonts w:ascii="Georgia" w:cs="Georgia" w:eastAsia="Georgia" w:hAnsi="Georgia"/>
          <w:sz w:val="20"/>
          <w:szCs w:val="20"/>
        </w:rPr>
        <w:t xml:space="preserve">vertical megastructure; hydraulic energy; pumped storage; atmospheric water harvesting; gravity turbine; arcology; Pelton turbine; closed-loop thermodynamics; Resonance City; energy architecture</w:t>
      </w:r>
    </w:p>
    <w:p>
      <w:pPr>
        <w:pBdr>
          <w:bottom w:val="single" w:color="CCCCCC" w:sz="6" w:space="1"/>
        </w:pBdr>
        <w:spacing w:after="60" w:before="60"/>
      </w:pPr>
      <w:r>
        <w:t xml:space="preserve"/>
      </w:r>
    </w:p>
    <w:p>
      <w:r>
        <w:br w:type="page"/>
      </w:r>
    </w:p>
    <w:p>
      <w:pPr>
        <w:pStyle w:val="Heading1"/>
        <w:spacing w:after="180" w:before="360"/>
      </w:pPr>
      <w:r>
        <w:rPr>
          <w:rFonts w:ascii="Arial" w:cs="Arial" w:eastAsia="Arial" w:hAnsi="Arial"/>
          <w:b/>
          <w:bCs/>
          <w:color w:val="1B3A5C"/>
          <w:sz w:val="28"/>
          <w:szCs w:val="28"/>
        </w:rPr>
        <w:t xml:space="preserve">1. Introduction</w:t>
      </w:r>
    </w:p>
    <w:p>
      <w:pPr>
        <w:spacing w:after="120" w:before="120" w:line="276"/>
        <w:jc w:val="left"/>
      </w:pPr>
      <w:r>
        <w:rPr>
          <w:rFonts w:ascii="Georgia" w:cs="Georgia" w:eastAsia="Georgia" w:hAnsi="Georgia"/>
          <w:color w:val="000000"/>
          <w:sz w:val="22"/>
          <w:szCs w:val="22"/>
        </w:rPr>
        <w:t xml:space="preserve">The global energy transition has focused predominantly on surface-area-constrained renewables — solar arrays requiring land, wind turbines requiring open terrain, tidal barrages requiring coastal geography. A parallel body of engineering practice, pumped storage hydropower (PSH), has quietly demonstrated that gravity is the most reliable, scalable, and long-lived energy storage mechanism available to industrial civilization. PSH currently accounts for over 90 percent of global grid-scale energy storage by installed capacity, with round-trip efficiencies of 70 to 85 percent and operational lifespans routinely exceeding 50 years.</w:t>
      </w:r>
    </w:p>
    <w:p>
      <w:pPr>
        <w:spacing w:after="120" w:before="120" w:line="276"/>
        <w:jc w:val="left"/>
      </w:pPr>
      <w:r>
        <w:rPr>
          <w:rFonts w:ascii="Georgia" w:cs="Georgia" w:eastAsia="Georgia" w:hAnsi="Georgia"/>
          <w:color w:val="000000"/>
          <w:sz w:val="22"/>
          <w:szCs w:val="22"/>
        </w:rPr>
        <w:t xml:space="preserve">Yet PSH has always been constrained by the same geographic logic as conventional hydropower: it requires mountains, valleys, and topographic relief. The hydraulic head — the vertical distance water falls — is determined by the landscape, not by engineering choice. The highest operating PSH head in the world is 1,883 meters at the Bieudron Power Station in the Swiss Alps. That head required the Alps.</w:t>
      </w:r>
    </w:p>
    <w:p>
      <w:pPr>
        <w:spacing w:after="120" w:before="120" w:line="276"/>
        <w:jc w:val="left"/>
      </w:pPr>
      <w:r>
        <w:rPr>
          <w:rFonts w:ascii="Georgia" w:cs="Georgia" w:eastAsia="Georgia" w:hAnsi="Georgia"/>
          <w:color w:val="000000"/>
          <w:sz w:val="22"/>
          <w:szCs w:val="22"/>
        </w:rPr>
        <w:t xml:space="preserve">This paper asks a different question. What if the structure itself is the mountain?</w:t>
      </w:r>
    </w:p>
    <w:p>
      <w:pPr>
        <w:spacing w:after="120" w:before="120" w:line="276"/>
        <w:jc w:val="left"/>
      </w:pPr>
      <w:r>
        <w:rPr>
          <w:rFonts w:ascii="Georgia" w:cs="Georgia" w:eastAsia="Georgia" w:hAnsi="Georgia"/>
          <w:color w:val="000000"/>
          <w:sz w:val="22"/>
          <w:szCs w:val="22"/>
        </w:rPr>
        <w:t xml:space="preserve">A vertical megastructure of 800 to 2,000 meters provides hydraulic head equivalent to or exceeding the world's highest PSH installations. If that structure also houses a million people, requires municipal water infrastructure, and harvests atmospheric water at altitude, then the energy system and the water system and the structural core become a single unified hydraulic machine — what we call the Vertical Arcology Hydraulic Spine, or VAHS.</w:t>
      </w:r>
    </w:p>
    <w:p>
      <w:pPr>
        <w:spacing w:after="120" w:before="120" w:line="276"/>
        <w:jc w:val="left"/>
      </w:pPr>
      <w:r>
        <w:rPr>
          <w:rFonts w:ascii="Georgia" w:cs="Georgia" w:eastAsia="Georgia" w:hAnsi="Georgia"/>
          <w:color w:val="000000"/>
          <w:sz w:val="22"/>
          <w:szCs w:val="22"/>
        </w:rPr>
        <w:t xml:space="preserve">This is not a new physics claim. Every component of the VAHS is established engineering practice. Pelton turbines at high head are proven technology. Pumped storage at large scale is proven technology. Atmospheric water harvesting is an active research and commercial field. High-pressure penstock design from Alpine hydro and deep mine water management is documented in the literature. The novelty of the VAHS is the synthesis: applying these proven systems together at a scale and in a context — an inhabited vertical megastructure — that no existing engineering or architectural literature has addressed.</w:t>
      </w:r>
    </w:p>
    <w:p>
      <w:pPr>
        <w:spacing w:after="120" w:before="120" w:line="276"/>
        <w:jc w:val="left"/>
      </w:pPr>
      <w:r>
        <w:rPr>
          <w:rFonts w:ascii="Georgia" w:cs="Georgia" w:eastAsia="Georgia" w:hAnsi="Georgia"/>
          <w:color w:val="000000"/>
          <w:sz w:val="22"/>
          <w:szCs w:val="22"/>
        </w:rPr>
        <w:t xml:space="preserve">The paper proceeds as follows. Section 2 establishes the hydraulic physics and presents the power output calculation table. Section 3 addresses closed-loop thermodynamic viability and the role of atmospheric water harvesting. Section 4 reviews structural and engineering implications. Section 5 situates the VAHS relative to existing concepts, particularly the SOM-Energy Vault EVc proposal. Section 6 discusses planetary-scale hydraulic considerations. Section 7 presents the theoretical contribution statement and research agenda.</w:t>
      </w:r>
    </w:p>
    <w:p>
      <w:pPr>
        <w:pStyle w:val="Heading1"/>
        <w:spacing w:after="180" w:before="360"/>
      </w:pPr>
      <w:r>
        <w:rPr>
          <w:rFonts w:ascii="Arial" w:cs="Arial" w:eastAsia="Arial" w:hAnsi="Arial"/>
          <w:b/>
          <w:bCs/>
          <w:color w:val="1B3A5C"/>
          <w:sz w:val="28"/>
          <w:szCs w:val="28"/>
        </w:rPr>
        <w:t xml:space="preserve">2. Hydraulic Physics and Power Output</w:t>
      </w:r>
    </w:p>
    <w:p>
      <w:pPr>
        <w:pStyle w:val="Heading2"/>
        <w:spacing w:after="120" w:before="240"/>
      </w:pPr>
      <w:r>
        <w:rPr>
          <w:rFonts w:ascii="Arial" w:cs="Arial" w:eastAsia="Arial" w:hAnsi="Arial"/>
          <w:b/>
          <w:bCs/>
          <w:color w:val="2E7D9E"/>
          <w:sz w:val="24"/>
          <w:szCs w:val="24"/>
        </w:rPr>
        <w:t xml:space="preserve">2.1 The Governing Equation</w:t>
      </w:r>
    </w:p>
    <w:p>
      <w:pPr>
        <w:spacing w:after="120" w:before="120" w:line="276"/>
        <w:jc w:val="left"/>
      </w:pPr>
      <w:r>
        <w:rPr>
          <w:rFonts w:ascii="Georgia" w:cs="Georgia" w:eastAsia="Georgia" w:hAnsi="Georgia"/>
          <w:color w:val="000000"/>
          <w:sz w:val="22"/>
          <w:szCs w:val="22"/>
        </w:rPr>
        <w:t xml:space="preserve">The power output of a hydraulic turbine system is governed by the standard hydraulic power equation:</w:t>
      </w:r>
    </w:p>
    <w:p>
      <w:pPr>
        <w:spacing w:after="180" w:before="180"/>
        <w:jc w:val="center"/>
      </w:pPr>
      <w:r>
        <w:rPr>
          <w:rFonts w:ascii="Courier New" w:cs="Courier New" w:eastAsia="Courier New" w:hAnsi="Courier New"/>
          <w:b/>
          <w:bCs/>
          <w:color w:val="1B3A5C"/>
          <w:sz w:val="26"/>
          <w:szCs w:val="26"/>
        </w:rPr>
        <w:t xml:space="preserve">P = ρ × g × Q × h × η</w:t>
      </w:r>
    </w:p>
    <w:p>
      <w:pPr>
        <w:spacing w:after="120" w:before="120" w:line="276"/>
        <w:jc w:val="left"/>
      </w:pPr>
      <w:r>
        <w:rPr>
          <w:rFonts w:ascii="Georgia" w:cs="Georgia" w:eastAsia="Georgia" w:hAnsi="Georgia"/>
          <w:color w:val="000000"/>
          <w:sz w:val="22"/>
          <w:szCs w:val="22"/>
        </w:rPr>
        <w:t xml:space="preserve">Where ρ is water density (1,000 kg/m³), g is gravitational acceleration (9.81 m/s²), Q is volumetric flow rate in cubic meters per second, h is the hydraulic head in meters, and η is turbine efficiency. Modern Pelton wheels operating at high head achieve efficiencies of 90 to 94 percent, documented across high-head installations including the Bieudron Power Station (1,883m head, 1,250 MW installed capacity).</w:t>
      </w:r>
    </w:p>
    <w:p>
      <w:pPr>
        <w:pStyle w:val="Heading2"/>
        <w:spacing w:after="120" w:before="240"/>
      </w:pPr>
      <w:r>
        <w:rPr>
          <w:rFonts w:ascii="Arial" w:cs="Arial" w:eastAsia="Arial" w:hAnsi="Arial"/>
          <w:b/>
          <w:bCs/>
          <w:color w:val="2E7D9E"/>
          <w:sz w:val="24"/>
          <w:szCs w:val="24"/>
        </w:rPr>
        <w:t xml:space="preserve">2.2 Power Output at Megastructure Scale</w:t>
      </w:r>
    </w:p>
    <w:p>
      <w:pPr>
        <w:spacing w:after="120" w:before="120" w:line="276"/>
        <w:jc w:val="left"/>
      </w:pPr>
      <w:r>
        <w:rPr>
          <w:rFonts w:ascii="Georgia" w:cs="Georgia" w:eastAsia="Georgia" w:hAnsi="Georgia"/>
          <w:color w:val="000000"/>
          <w:sz w:val="22"/>
          <w:szCs w:val="22"/>
        </w:rPr>
        <w:t xml:space="preserve">Table 1 presents the theoretical power output in megawatts for head heights from 100m to 2,000m and flow rates from 0.1 to 100 cubic meters per second, using η = 0.90. Comparison rows for major existing installations are included for context.</w:t>
      </w:r>
    </w:p>
    <w:p>
      <w:pPr>
        <w:spacing w:after="60" w:before="60"/>
      </w:pPr>
      <w:r>
        <w:t xml:space="preserve"/>
      </w:r>
    </w:p>
    <w:p>
      <w:pPr>
        <w:spacing w:after="80" w:before="60"/>
        <w:jc w:val="center"/>
      </w:pPr>
      <w:r>
        <w:rPr>
          <w:rFonts w:ascii="Arial" w:cs="Arial" w:eastAsia="Arial" w:hAnsi="Arial"/>
          <w:b/>
          <w:bCs/>
          <w:color w:val="1B3A5C"/>
          <w:sz w:val="20"/>
          <w:szCs w:val="20"/>
        </w:rPr>
        <w:t xml:space="preserve">Table 1. Theoretical Power Output (MW) — P = ρgQhη, η = 0.90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37"/>
        <w:gridCol w:w="1137"/>
        <w:gridCol w:w="1137"/>
        <w:gridCol w:w="1137"/>
        <w:gridCol w:w="1137"/>
        <w:gridCol w:w="1137"/>
        <w:gridCol w:w="1138"/>
      </w:tblGrid>
      <w:tr>
        <w:trPr>
          <w:tblHeader/>
        </w:trPr>
        <w:tc>
          <w:tcPr>
            <w:tcW w:type="dxa" w:w="1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Head (m)</w:t>
            </w:r>
          </w:p>
        </w:tc>
        <w:tc>
          <w:tcPr>
            <w:tcW w:type="dxa" w:w="1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0.1 m³/s</w:t>
            </w:r>
          </w:p>
        </w:tc>
        <w:tc>
          <w:tcPr>
            <w:tcW w:type="dxa" w:w="1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0.5 m³/s</w:t>
            </w:r>
          </w:p>
        </w:tc>
        <w:tc>
          <w:tcPr>
            <w:tcW w:type="dxa" w:w="1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 m³/s</w:t>
            </w:r>
          </w:p>
        </w:tc>
        <w:tc>
          <w:tcPr>
            <w:tcW w:type="dxa" w:w="1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5 m³/s</w:t>
            </w:r>
          </w:p>
        </w:tc>
        <w:tc>
          <w:tcPr>
            <w:tcW w:type="dxa" w:w="1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10 m³/s</w:t>
            </w:r>
          </w:p>
        </w:tc>
        <w:tc>
          <w:tcPr>
            <w:tcW w:type="dxa" w:w="1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50 m³/s</w:t>
            </w:r>
          </w:p>
        </w:tc>
        <w:tc>
          <w:tcPr>
            <w:tcW w:type="dxa" w:w="1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100 m³/s</w:t>
            </w:r>
          </w:p>
        </w:tc>
      </w:tr>
      <w:tr>
        <w:tc>
          <w:tcPr>
            <w:tcW w:type="dxa" w:w="1400"/>
            <w:tcBorders>
              <w:top w:val="single" w:color="CCCCCC" w:sz="1"/>
              <w:left w:val="single" w:color="CCCCCC" w:sz="1"/>
              <w:bottom w:val="single" w:color="CCCCCC" w:sz="1"/>
              <w:right w:val="single" w:color="CCCCCC" w:sz="1"/>
            </w:tcBorders>
            <w:shd w:fill="EAF3F8"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0.088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0.441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0.883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4.415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8.829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44.15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88.29</w:t>
            </w:r>
          </w:p>
        </w:tc>
      </w:tr>
      <w:tr>
        <w:tc>
          <w:tcPr>
            <w:tcW w:type="dxa" w:w="1400"/>
            <w:tcBorders>
              <w:top w:val="single" w:color="CCCCCC" w:sz="1"/>
              <w:left w:val="single" w:color="CCCCCC" w:sz="1"/>
              <w:bottom w:val="single" w:color="CCCCCC" w:sz="1"/>
              <w:right w:val="single" w:color="CCCCCC" w:sz="1"/>
            </w:tcBorders>
            <w:shd w:fill="EAF3F8"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0.177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0.883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1.766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8.829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17.66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88.29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176.6</w:t>
            </w:r>
          </w:p>
        </w:tc>
      </w:tr>
      <w:tr>
        <w:tc>
          <w:tcPr>
            <w:tcW w:type="dxa" w:w="1400"/>
            <w:tcBorders>
              <w:top w:val="single" w:color="CCCCCC" w:sz="1"/>
              <w:left w:val="single" w:color="CCCCCC" w:sz="1"/>
              <w:bottom w:val="single" w:color="CCCCCC" w:sz="1"/>
              <w:right w:val="single" w:color="CCCCCC" w:sz="1"/>
            </w:tcBorders>
            <w:shd w:fill="EAF3F8"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0.441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2.207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4.415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22.07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44.15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220.7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441.4</w:t>
            </w:r>
          </w:p>
        </w:tc>
      </w:tr>
      <w:tr>
        <w:tc>
          <w:tcPr>
            <w:tcW w:type="dxa" w:w="1400"/>
            <w:tcBorders>
              <w:top w:val="single" w:color="CCCCCC" w:sz="1"/>
              <w:left w:val="single" w:color="CCCCCC" w:sz="1"/>
              <w:bottom w:val="single" w:color="CCCCCC" w:sz="1"/>
              <w:right w:val="single" w:color="CCCCCC" w:sz="1"/>
            </w:tcBorders>
            <w:shd w:fill="EAF3F8"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800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0.706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3.532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7.063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35.32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70.63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353.2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706.3</w:t>
            </w:r>
          </w:p>
        </w:tc>
      </w:tr>
      <w:tr>
        <w:tc>
          <w:tcPr>
            <w:tcW w:type="dxa" w:w="1400"/>
            <w:tcBorders>
              <w:top w:val="single" w:color="CCCCCC" w:sz="1"/>
              <w:left w:val="single" w:color="CCCCCC" w:sz="1"/>
              <w:bottom w:val="single" w:color="CCCCCC" w:sz="1"/>
              <w:right w:val="single" w:color="CCCCCC" w:sz="1"/>
            </w:tcBorders>
            <w:shd w:fill="EAF3F8"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1,200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1.059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5.297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10.59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52.97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105.9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529.7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1059.5</w:t>
            </w:r>
          </w:p>
        </w:tc>
      </w:tr>
      <w:tr>
        <w:tc>
          <w:tcPr>
            <w:tcW w:type="dxa" w:w="1400"/>
            <w:tcBorders>
              <w:top w:val="single" w:color="CCCCCC" w:sz="1"/>
              <w:left w:val="single" w:color="CCCCCC" w:sz="1"/>
              <w:bottom w:val="single" w:color="CCCCCC" w:sz="1"/>
              <w:right w:val="single" w:color="CCCCCC" w:sz="1"/>
            </w:tcBorders>
            <w:shd w:fill="EAF3F8"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1.766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8.829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17.66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88.29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176.6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882.9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Courier New" w:cs="Courier New" w:eastAsia="Courier New" w:hAnsi="Courier New"/>
                <w:b w:val="false"/>
                <w:bCs w:val="false"/>
                <w:color w:val="000000"/>
                <w:sz w:val="18"/>
                <w:szCs w:val="18"/>
              </w:rPr>
              <w:t xml:space="preserve">1765.8</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i/>
                <w:iCs/>
                <w:sz w:val="16"/>
                <w:szCs w:val="16"/>
              </w:rPr>
              <w:t xml:space="preserve">Hoover Dam (h=180m, Q=990 m³/s)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i w:val="false"/>
                <w:iCs w:val="false"/>
                <w:sz w:val="16"/>
                <w:szCs w:val="16"/>
              </w:rPr>
              <w:t xml:space="preserv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i w:val="false"/>
                <w:iCs w:val="false"/>
                <w:sz w:val="16"/>
                <w:szCs w:val="16"/>
              </w:rPr>
              <w:t xml:space="preserv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i w:val="false"/>
                <w:iCs w:val="false"/>
                <w:sz w:val="16"/>
                <w:szCs w:val="16"/>
              </w:rPr>
              <w:t xml:space="preserv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i w:val="false"/>
                <w:iCs w:val="false"/>
                <w:sz w:val="16"/>
                <w:szCs w:val="16"/>
              </w:rPr>
              <w:t xml:space="preserv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i w:val="false"/>
                <w:iCs w:val="false"/>
                <w:sz w:val="16"/>
                <w:szCs w:val="16"/>
              </w:rPr>
              <w:t xml:space="preserv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i w:val="false"/>
                <w:iCs w:val="false"/>
                <w:sz w:val="16"/>
                <w:szCs w:val="16"/>
              </w:rPr>
              <w:t xml:space="preserv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i w:val="false"/>
                <w:iCs w:val="false"/>
                <w:sz w:val="16"/>
                <w:szCs w:val="16"/>
              </w:rPr>
              <w:t xml:space="preserve">~2,080 MW actual</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i/>
                <w:iCs/>
                <w:sz w:val="16"/>
                <w:szCs w:val="16"/>
              </w:rPr>
              <w:t xml:space="preserve">Robert Moses Niagara (h=58m, Q=2,400 m³/s)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i w:val="false"/>
                <w:iCs w:val="false"/>
                <w:sz w:val="16"/>
                <w:szCs w:val="16"/>
              </w:rPr>
              <w:t xml:space="preserv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i w:val="false"/>
                <w:iCs w:val="false"/>
                <w:sz w:val="16"/>
                <w:szCs w:val="16"/>
              </w:rPr>
              <w:t xml:space="preserv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i w:val="false"/>
                <w:iCs w:val="false"/>
                <w:sz w:val="16"/>
                <w:szCs w:val="16"/>
              </w:rPr>
              <w:t xml:space="preserv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i w:val="false"/>
                <w:iCs w:val="false"/>
                <w:sz w:val="16"/>
                <w:szCs w:val="16"/>
              </w:rPr>
              <w:t xml:space="preserv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i w:val="false"/>
                <w:iCs w:val="false"/>
                <w:sz w:val="16"/>
                <w:szCs w:val="16"/>
              </w:rPr>
              <w:t xml:space="preserv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i w:val="false"/>
                <w:iCs w:val="false"/>
                <w:sz w:val="16"/>
                <w:szCs w:val="16"/>
              </w:rPr>
              <w:t xml:space="preserv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i w:val="false"/>
                <w:iCs w:val="false"/>
                <w:sz w:val="16"/>
                <w:szCs w:val="16"/>
              </w:rPr>
              <w:t xml:space="preserve">~2,525 MW actual</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i/>
                <w:iCs/>
                <w:sz w:val="16"/>
                <w:szCs w:val="16"/>
              </w:rPr>
              <w:t xml:space="preserve">Three Gorges (h=110m, Q=30,000 m³/s)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i w:val="false"/>
                <w:iCs w:val="false"/>
                <w:sz w:val="16"/>
                <w:szCs w:val="16"/>
              </w:rPr>
              <w:t xml:space="preserv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i w:val="false"/>
                <w:iCs w:val="false"/>
                <w:sz w:val="16"/>
                <w:szCs w:val="16"/>
              </w:rPr>
              <w:t xml:space="preserv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i w:val="false"/>
                <w:iCs w:val="false"/>
                <w:sz w:val="16"/>
                <w:szCs w:val="16"/>
              </w:rPr>
              <w:t xml:space="preserv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i w:val="false"/>
                <w:iCs w:val="false"/>
                <w:sz w:val="16"/>
                <w:szCs w:val="16"/>
              </w:rPr>
              <w:t xml:space="preserv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i w:val="false"/>
                <w:iCs w:val="false"/>
                <w:sz w:val="16"/>
                <w:szCs w:val="16"/>
              </w:rPr>
              <w:t xml:space="preserv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i w:val="false"/>
                <w:iCs w:val="false"/>
                <w:sz w:val="16"/>
                <w:szCs w:val="16"/>
              </w:rPr>
              <w:t xml:space="preserv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i w:val="false"/>
                <w:iCs w:val="false"/>
                <w:sz w:val="16"/>
                <w:szCs w:val="16"/>
              </w:rPr>
              <w:t xml:space="preserve">22,500 MW actual</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i/>
                <w:iCs/>
                <w:sz w:val="16"/>
                <w:szCs w:val="16"/>
              </w:rPr>
              <w:t xml:space="preserve">Bieudron PSH Switzerland (h=1,883m, Q=75 m³/s)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i w:val="false"/>
                <w:iCs w:val="false"/>
                <w:sz w:val="16"/>
                <w:szCs w:val="16"/>
              </w:rPr>
              <w:t xml:space="preserv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i w:val="false"/>
                <w:iCs w:val="false"/>
                <w:sz w:val="16"/>
                <w:szCs w:val="16"/>
              </w:rPr>
              <w:t xml:space="preserv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i w:val="false"/>
                <w:iCs w:val="false"/>
                <w:sz w:val="16"/>
                <w:szCs w:val="16"/>
              </w:rPr>
              <w:t xml:space="preserv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i w:val="false"/>
                <w:iCs w:val="false"/>
                <w:sz w:val="16"/>
                <w:szCs w:val="16"/>
              </w:rPr>
              <w:t xml:space="preserv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i w:val="false"/>
                <w:iCs w:val="false"/>
                <w:sz w:val="16"/>
                <w:szCs w:val="16"/>
              </w:rPr>
              <w:t xml:space="preserve">~1,243 MW</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i w:val="false"/>
                <w:iCs w:val="false"/>
                <w:sz w:val="16"/>
                <w:szCs w:val="16"/>
              </w:rPr>
              <w:t xml:space="preserv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i w:val="false"/>
                <w:iCs w:val="false"/>
                <w:sz w:val="16"/>
                <w:szCs w:val="16"/>
              </w:rPr>
              <w:t xml:space="preserve">~1,250 MW actual</w:t>
            </w:r>
          </w:p>
        </w:tc>
      </w:tr>
    </w:tbl>
    <w:p>
      <w:pPr>
        <w:spacing w:after="120" w:before="80"/>
        <w:jc w:val="center"/>
      </w:pPr>
      <w:r>
        <w:rPr>
          <w:rFonts w:ascii="Courier New" w:cs="Courier New" w:eastAsia="Courier New" w:hAnsi="Courier New"/>
          <w:i/>
          <w:iCs/>
          <w:color w:val="555555"/>
          <w:sz w:val="18"/>
          <w:szCs w:val="18"/>
        </w:rPr>
        <w:t xml:space="preserve">Formula: P(MW) = (1,000 × 9.81 × Q × h × 0.90) / 1,000,000</w:t>
      </w:r>
    </w:p>
    <w:p>
      <w:pPr>
        <w:spacing w:after="60" w:before="60"/>
      </w:pPr>
      <w:r>
        <w:t xml:space="preserve"/>
      </w:r>
    </w:p>
    <w:p>
      <w:pPr>
        <w:pStyle w:val="Heading2"/>
        <w:spacing w:after="120" w:before="240"/>
      </w:pPr>
      <w:r>
        <w:rPr>
          <w:rFonts w:ascii="Arial" w:cs="Arial" w:eastAsia="Arial" w:hAnsi="Arial"/>
          <w:b/>
          <w:bCs/>
          <w:color w:val="2E7D9E"/>
          <w:sz w:val="24"/>
          <w:szCs w:val="24"/>
        </w:rPr>
        <w:t xml:space="preserve">2.3 The Bieudron Precedent</w:t>
      </w:r>
    </w:p>
    <w:p>
      <w:pPr>
        <w:spacing w:after="120" w:before="120" w:line="276"/>
        <w:jc w:val="left"/>
      </w:pPr>
      <w:r>
        <w:rPr>
          <w:rFonts w:ascii="Georgia" w:cs="Georgia" w:eastAsia="Georgia" w:hAnsi="Georgia"/>
          <w:color w:val="000000"/>
          <w:sz w:val="22"/>
          <w:szCs w:val="22"/>
        </w:rPr>
        <w:t xml:space="preserve">The key insight from Table 1 is that extreme hydraulic head radically changes the flow-rate requirement for utility-scale generation. The Robert Moses Niagara Power Plant produces 2,525 MW using approximately 2,400 cubic meters per second at a head of 58 meters. A VAHS operating at 2,000 meters head achieves 1,766 MW at just 100 cubic meters per second — less than five percent of Niagara's flow volume. This is the fundamental engineering advantage of the VAHS: the structure's height replaces the need for massive water volume.</w:t>
      </w:r>
    </w:p>
    <w:p>
      <w:pPr>
        <w:spacing w:after="120" w:before="120" w:line="276"/>
        <w:jc w:val="left"/>
      </w:pPr>
      <w:r>
        <w:rPr>
          <w:rFonts w:ascii="Georgia" w:cs="Georgia" w:eastAsia="Georgia" w:hAnsi="Georgia"/>
          <w:color w:val="000000"/>
          <w:sz w:val="22"/>
          <w:szCs w:val="22"/>
        </w:rPr>
        <w:t xml:space="preserve">The Bieudron Power Station in Switzerland confirms that Pelton wheel technology is fully operational at head heights approaching 2,000 meters. The VAHS does not require the invention of new turbine technology. It requires the application of proven high-head turbine technology within a built rather than natural geological context.</w:t>
      </w:r>
    </w:p>
    <w:p>
      <w:pPr>
        <w:spacing w:after="120" w:before="120" w:line="276"/>
        <w:jc w:val="left"/>
      </w:pPr>
      <w:r>
        <w:rPr>
          <w:rFonts w:ascii="Georgia" w:cs="Georgia" w:eastAsia="Georgia" w:hAnsi="Georgia"/>
          <w:color w:val="000000"/>
          <w:sz w:val="22"/>
          <w:szCs w:val="22"/>
        </w:rPr>
        <w:t xml:space="preserve">Pumped storage round-trip efficiency at high head is documented in the literature at 70 to 85 percent, with state-of-the-art facilities approaching 87 percent. The VAHS theoretical round-trip efficiency follows the same relationship: turbine efficiency of 90 percent multiplied by pump efficiency of approximately 85 percent yields a system round-trip efficiency of approximately 76 to 80 percent, consistent with the upper range of conventional PSH.</w:t>
      </w:r>
    </w:p>
    <w:p>
      <w:pPr>
        <w:pStyle w:val="Heading1"/>
        <w:spacing w:after="180" w:before="360"/>
      </w:pPr>
      <w:r>
        <w:rPr>
          <w:rFonts w:ascii="Arial" w:cs="Arial" w:eastAsia="Arial" w:hAnsi="Arial"/>
          <w:b/>
          <w:bCs/>
          <w:color w:val="1B3A5C"/>
          <w:sz w:val="28"/>
          <w:szCs w:val="28"/>
        </w:rPr>
        <w:t xml:space="preserve">3. Closed-Loop Thermodynamic Viability</w:t>
      </w:r>
    </w:p>
    <w:p>
      <w:pPr>
        <w:pStyle w:val="Heading2"/>
        <w:spacing w:after="120" w:before="240"/>
      </w:pPr>
      <w:r>
        <w:rPr>
          <w:rFonts w:ascii="Arial" w:cs="Arial" w:eastAsia="Arial" w:hAnsi="Arial"/>
          <w:b/>
          <w:bCs/>
          <w:color w:val="2E7D9E"/>
          <w:sz w:val="24"/>
          <w:szCs w:val="24"/>
        </w:rPr>
        <w:t xml:space="preserve">3.1 The Conservation Constraint</w:t>
      </w:r>
    </w:p>
    <w:p>
      <w:pPr>
        <w:spacing w:after="120" w:before="120" w:line="276"/>
        <w:jc w:val="left"/>
      </w:pPr>
      <w:r>
        <w:rPr>
          <w:rFonts w:ascii="Georgia" w:cs="Georgia" w:eastAsia="Georgia" w:hAnsi="Georgia"/>
          <w:color w:val="000000"/>
          <w:sz w:val="22"/>
          <w:szCs w:val="22"/>
        </w:rPr>
        <w:t xml:space="preserve">The Second Law of Thermodynamics is unambiguous: a closed-loop system cannot produce net energy. Every joule extracted by the turbine during descent must be repaid by the pump during ascent, plus the losses incurred at each stage. The VAHS does not propose to violate this constraint. It proposes to circumvent it through a specific mechanism: the introduction of atmospheric water as an external mass input at altitude.</w:t>
      </w:r>
    </w:p>
    <w:p>
      <w:pPr>
        <w:pStyle w:val="Heading2"/>
        <w:spacing w:after="120" w:before="240"/>
      </w:pPr>
      <w:r>
        <w:rPr>
          <w:rFonts w:ascii="Arial" w:cs="Arial" w:eastAsia="Arial" w:hAnsi="Arial"/>
          <w:b/>
          <w:bCs/>
          <w:color w:val="2E7D9E"/>
          <w:sz w:val="24"/>
          <w:szCs w:val="24"/>
        </w:rPr>
        <w:t xml:space="preserve">3.2 The Atmospheric Harvest Integration</w:t>
      </w:r>
    </w:p>
    <w:p>
      <w:pPr>
        <w:spacing w:after="120" w:before="120" w:line="276"/>
        <w:jc w:val="left"/>
      </w:pPr>
      <w:r>
        <w:rPr>
          <w:rFonts w:ascii="Georgia" w:cs="Georgia" w:eastAsia="Georgia" w:hAnsi="Georgia"/>
          <w:color w:val="000000"/>
          <w:sz w:val="22"/>
          <w:szCs w:val="22"/>
        </w:rPr>
        <w:t xml:space="preserve">Solar-driven evaporation lifts water from ocean and land surfaces to the atmosphere at no energetic cost to the VAHS system. When this water condenses and is harvested at the sky tier — whether through fog nets, atmospheric water generation systems, or condensate recovery from the structure's climate management — it arrives at the upper reservoir with its gravitational potential energy already provided by the solar cycle.</w:t>
      </w:r>
    </w:p>
    <w:p>
      <w:pPr>
        <w:spacing w:after="120" w:before="120" w:line="276"/>
        <w:jc w:val="left"/>
      </w:pPr>
      <w:r>
        <w:rPr>
          <w:rFonts w:ascii="Georgia" w:cs="Georgia" w:eastAsia="Georgia" w:hAnsi="Georgia"/>
          <w:color w:val="000000"/>
          <w:sz w:val="22"/>
          <w:szCs w:val="22"/>
        </w:rPr>
        <w:t xml:space="preserve">This water does not need to be pumped from the ground. Its potential energy is free. When it descends through turbines, it generates power. When it enters the municipal water system below, it supplies potable water. When a fraction is recycled by pumping back to upper storage, that fraction incurs the round-trip efficiency penalty. But the fraction that originated as atmospheric harvest does not.</w:t>
      </w:r>
    </w:p>
    <w:p>
      <w:pPr>
        <w:spacing w:after="120" w:before="120" w:line="276"/>
        <w:jc w:val="left"/>
      </w:pPr>
      <w:r>
        <w:rPr>
          <w:rFonts w:ascii="Georgia" w:cs="Georgia" w:eastAsia="Georgia" w:hAnsi="Georgia"/>
          <w:color w:val="000000"/>
          <w:sz w:val="22"/>
          <w:szCs w:val="22"/>
        </w:rPr>
        <w:t xml:space="preserve">The net system energy balance therefore depends on the ratio of atmospheric harvest to recycled water. At one extreme — 100 percent atmospheric harvest — the system is a net energy producer, treating solar evaporation as the external energy input. At the other extreme — 100 percent recycled water — the system is a net energy consumer with round-trip efficiency of approximately 76 to 80 percent, functioning as a conventional pumped storage gravity battery.</w:t>
      </w:r>
    </w:p>
    <w:p>
      <w:pPr>
        <w:pStyle w:val="Heading2"/>
        <w:spacing w:after="120" w:before="240"/>
      </w:pPr>
      <w:r>
        <w:rPr>
          <w:rFonts w:ascii="Arial" w:cs="Arial" w:eastAsia="Arial" w:hAnsi="Arial"/>
          <w:b/>
          <w:bCs/>
          <w:color w:val="2E7D9E"/>
          <w:sz w:val="24"/>
          <w:szCs w:val="24"/>
        </w:rPr>
        <w:t xml:space="preserve">3.3 The Dual-Use Accounting Framework</w:t>
      </w:r>
    </w:p>
    <w:p>
      <w:pPr>
        <w:spacing w:after="120" w:before="120" w:line="276"/>
        <w:jc w:val="left"/>
      </w:pPr>
      <w:r>
        <w:rPr>
          <w:rFonts w:ascii="Georgia" w:cs="Georgia" w:eastAsia="Georgia" w:hAnsi="Georgia"/>
          <w:color w:val="000000"/>
          <w:sz w:val="22"/>
          <w:szCs w:val="22"/>
        </w:rPr>
        <w:t xml:space="preserve">The integration of municipal water supply and energy generation into a single infrastructure changes the thermodynamic accounting in a way that has not been formalized in the existing pumped storage literature. In conventional PSH, water is a pure energy carrier with no consumptive value: its only purpose is to store and release electrical energy. In the VAHS, water is simultaneously an energy carrier and a consumable commodity. The energy cost of pumping water back to altitude is a shared cost amortized across both the water supply function and the energy storage function.</w:t>
      </w:r>
    </w:p>
    <w:p>
      <w:pPr>
        <w:spacing w:after="120" w:before="120" w:line="276"/>
        <w:jc w:val="left"/>
      </w:pPr>
      <w:r>
        <w:rPr>
          <w:rFonts w:ascii="Georgia" w:cs="Georgia" w:eastAsia="Georgia" w:hAnsi="Georgia"/>
          <w:color w:val="000000"/>
          <w:sz w:val="22"/>
          <w:szCs w:val="22"/>
        </w:rPr>
        <w:t xml:space="preserve">This dual-use accounting means that the effective energy cost of the storage function is lower than in conventional PSH, because part of the pumping cost is legitimately attributed to water delivery rather than energy storage. This framework has not been established in the peer-reviewed literature and represents a genuine contribution of this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9E" w:sz="1"/>
              <w:left w:val="single" w:color="2E7D9E" w:sz="1"/>
              <w:bottom w:val="single" w:color="2E7D9E" w:sz="1"/>
              <w:right w:val="single" w:color="2E7D9E" w:sz="1"/>
            </w:tcBorders>
            <w:shd w:fill="EAF3F8" w:val="clear"/>
            <w:tcMar>
              <w:top w:type="dxa" w:w="120"/>
              <w:left w:type="dxa" w:w="180"/>
              <w:bottom w:type="dxa" w:w="120"/>
              <w:right w:type="dxa" w:w="180"/>
            </w:tcMar>
          </w:tcPr>
          <w:p>
            <w:pPr>
              <w:spacing w:after="60" w:before="60"/>
            </w:pPr>
            <w:r>
              <w:rPr>
                <w:rFonts w:ascii="Arial" w:cs="Arial" w:eastAsia="Arial" w:hAnsi="Arial"/>
                <w:b/>
                <w:bCs/>
                <w:color w:val="1B3A5C"/>
                <w:sz w:val="22"/>
                <w:szCs w:val="22"/>
              </w:rPr>
              <w:t xml:space="preserve">Net Positivity Threshold</w:t>
            </w:r>
          </w:p>
          <w:p>
            <w:pPr>
              <w:spacing w:after="60" w:before="60" w:line="276"/>
            </w:pPr>
            <w:r>
              <w:rPr>
                <w:rFonts w:ascii="Georgia" w:cs="Georgia" w:eastAsia="Georgia" w:hAnsi="Georgia"/>
                <w:sz w:val="22"/>
                <w:szCs w:val="22"/>
              </w:rPr>
              <w:t xml:space="preserve">The system achieves conditional net positive operation when: (Energy from atmospheric harvest descent) &gt; (Energy cost of atmospheric collection + Energy cost of recycled fraction pumping + Energy cost of water treatment). At head heights above 1,200 meters, turbine output per cubic meter of water (4.9 to 17.7 kWh/m³) exceeds the sum of atmospheric water generation energy costs (0.5 to 5 kWh/m³) and treatment costs (0.5 to 2 kWh/m³) for passive or semi-passive collection methods, suggesting conditional net positivity is achievable at the upper range of proposed head heights.</w:t>
            </w:r>
          </w:p>
        </w:tc>
      </w:tr>
    </w:tbl>
    <w:p>
      <w:pPr>
        <w:spacing w:after="60" w:before="60"/>
      </w:pPr>
      <w:r>
        <w:t xml:space="preserve"/>
      </w:r>
    </w:p>
    <w:p>
      <w:pPr>
        <w:pStyle w:val="Heading1"/>
        <w:spacing w:after="180" w:before="360"/>
      </w:pPr>
      <w:r>
        <w:rPr>
          <w:rFonts w:ascii="Arial" w:cs="Arial" w:eastAsia="Arial" w:hAnsi="Arial"/>
          <w:b/>
          <w:bCs/>
          <w:color w:val="1B3A5C"/>
          <w:sz w:val="28"/>
          <w:szCs w:val="28"/>
        </w:rPr>
        <w:t xml:space="preserve">4. Structural and Engineering Implications</w:t>
      </w:r>
    </w:p>
    <w:p>
      <w:pPr>
        <w:pStyle w:val="Heading2"/>
        <w:spacing w:after="120" w:before="240"/>
      </w:pPr>
      <w:r>
        <w:rPr>
          <w:rFonts w:ascii="Arial" w:cs="Arial" w:eastAsia="Arial" w:hAnsi="Arial"/>
          <w:b/>
          <w:bCs/>
          <w:color w:val="2E7D9E"/>
          <w:sz w:val="24"/>
          <w:szCs w:val="24"/>
        </w:rPr>
        <w:t xml:space="preserve">4.1 Pressure Containment</w:t>
      </w:r>
    </w:p>
    <w:p>
      <w:pPr>
        <w:spacing w:after="120" w:before="120" w:line="276"/>
        <w:jc w:val="left"/>
      </w:pPr>
      <w:r>
        <w:rPr>
          <w:rFonts w:ascii="Georgia" w:cs="Georgia" w:eastAsia="Georgia" w:hAnsi="Georgia"/>
          <w:color w:val="000000"/>
          <w:sz w:val="22"/>
          <w:szCs w:val="22"/>
        </w:rPr>
        <w:t xml:space="preserve">A continuous 2,000 meter water column exerts a hydrostatic pressure at its base of:</w:t>
      </w:r>
    </w:p>
    <w:p>
      <w:pPr>
        <w:spacing w:after="120" w:before="120"/>
        <w:jc w:val="center"/>
      </w:pPr>
      <w:r>
        <w:rPr>
          <w:rFonts w:ascii="Courier New" w:cs="Courier New" w:eastAsia="Courier New" w:hAnsi="Courier New"/>
          <w:b/>
          <w:bCs/>
          <w:color w:val="1B3A5C"/>
          <w:sz w:val="24"/>
          <w:szCs w:val="24"/>
        </w:rPr>
        <w:t xml:space="preserve">P = ρgh = 1,000 × 9.81 × 2,000 = 19.62 MPa (196 bar)</w:t>
      </w:r>
    </w:p>
    <w:p>
      <w:pPr>
        <w:spacing w:after="120" w:before="120" w:line="276"/>
        <w:jc w:val="left"/>
      </w:pPr>
      <w:r>
        <w:rPr>
          <w:rFonts w:ascii="Georgia" w:cs="Georgia" w:eastAsia="Georgia" w:hAnsi="Georgia"/>
          <w:color w:val="000000"/>
          <w:sz w:val="22"/>
          <w:szCs w:val="22"/>
        </w:rPr>
        <w:t xml:space="preserve">This pressure is equivalent to the hydrostatic pressure at 2,000 meters ocean depth and at the working depths of deep mine water management systems in South Africa's gold mining industry. It is within the design range of high-strength steel penstocks used in Alpine PSH installations. Grade X80 pipeline steel has a yield strength of approximately 550 MPa, requiring wall thickness of approximately 20 to 40mm for a 1-meter diameter penstock at this pressure, with appropriate safety factors.</w:t>
      </w:r>
    </w:p>
    <w:p>
      <w:pPr>
        <w:spacing w:after="120" w:before="120" w:line="276"/>
        <w:jc w:val="left"/>
      </w:pPr>
      <w:r>
        <w:rPr>
          <w:rFonts w:ascii="Georgia" w:cs="Georgia" w:eastAsia="Georgia" w:hAnsi="Georgia"/>
          <w:color w:val="000000"/>
          <w:sz w:val="22"/>
          <w:szCs w:val="22"/>
        </w:rPr>
        <w:t xml:space="preserve">The VAHS design does not require a single continuous 2,000 meter water column. A multi-tier cascade — with intermediate storage reservoirs at approximately 500, 800, and 1,200 meter levels — divides the total head into segments of 300 to 500 meters each, reducing maximum static pressure at any single point by 60 to 75 percent. This approach also provides intermediate surge management nodes, addressing the water hammer risk.</w:t>
      </w:r>
    </w:p>
    <w:p>
      <w:pPr>
        <w:pStyle w:val="Heading2"/>
        <w:spacing w:after="120" w:before="240"/>
      </w:pPr>
      <w:r>
        <w:rPr>
          <w:rFonts w:ascii="Arial" w:cs="Arial" w:eastAsia="Arial" w:hAnsi="Arial"/>
          <w:b/>
          <w:bCs/>
          <w:color w:val="2E7D9E"/>
          <w:sz w:val="24"/>
          <w:szCs w:val="24"/>
        </w:rPr>
        <w:t xml:space="preserve">4.2 Water Hammer Management</w:t>
      </w:r>
    </w:p>
    <w:p>
      <w:pPr>
        <w:spacing w:after="120" w:before="120" w:line="276"/>
        <w:jc w:val="left"/>
      </w:pPr>
      <w:r>
        <w:rPr>
          <w:rFonts w:ascii="Georgia" w:cs="Georgia" w:eastAsia="Georgia" w:hAnsi="Georgia"/>
          <w:color w:val="000000"/>
          <w:sz w:val="22"/>
          <w:szCs w:val="22"/>
        </w:rPr>
        <w:t xml:space="preserve">Water hammer — the transient pressure surge caused by rapid changes in flow velocity — represents the primary structural risk in high-head hydraulic systems. The Joukowsky equation gives the maximum surge pressure as:</w:t>
      </w:r>
    </w:p>
    <w:p>
      <w:pPr>
        <w:spacing w:after="120" w:before="120"/>
        <w:jc w:val="center"/>
      </w:pPr>
      <w:r>
        <w:rPr>
          <w:rFonts w:ascii="Courier New" w:cs="Courier New" w:eastAsia="Courier New" w:hAnsi="Courier New"/>
          <w:b/>
          <w:bCs/>
          <w:color w:val="1B3A5C"/>
          <w:sz w:val="24"/>
          <w:szCs w:val="24"/>
        </w:rPr>
        <w:t xml:space="preserve">ΔP = ρ × c × Δv</w:t>
      </w:r>
    </w:p>
    <w:p>
      <w:pPr>
        <w:spacing w:after="120" w:before="120" w:line="276"/>
        <w:jc w:val="left"/>
      </w:pPr>
      <w:r>
        <w:rPr>
          <w:rFonts w:ascii="Georgia" w:cs="Georgia" w:eastAsia="Georgia" w:hAnsi="Georgia"/>
          <w:color w:val="000000"/>
          <w:sz w:val="22"/>
          <w:szCs w:val="22"/>
        </w:rPr>
        <w:t xml:space="preserve">Where c is the acoustic wave speed in water (approximately 1,400 m/s) and Δv is the velocity change. At a typical penstock velocity of 5 m/s, instantaneous valve closure would produce surge pressures of approximately 7 MPa — substantial but within the design capacity of high-strength steel with appropriate safety factors. In practice, water hammer is managed through slow-closing valves with controlled closure times, surge tanks at each intermediate reservoir node, and redundant parallel penstocks with isolation capability. All of these solutions are standard practice in Alpine PSH installations and are directly applicable to the VAHS.</w:t>
      </w:r>
    </w:p>
    <w:p>
      <w:pPr>
        <w:pStyle w:val="Heading2"/>
        <w:spacing w:after="120" w:before="240"/>
      </w:pPr>
      <w:r>
        <w:rPr>
          <w:rFonts w:ascii="Arial" w:cs="Arial" w:eastAsia="Arial" w:hAnsi="Arial"/>
          <w:b/>
          <w:bCs/>
          <w:color w:val="2E7D9E"/>
          <w:sz w:val="24"/>
          <w:szCs w:val="24"/>
        </w:rPr>
        <w:t xml:space="preserve">4.3 Engineering Precedents</w:t>
      </w:r>
    </w:p>
    <w:p>
      <w:pPr>
        <w:spacing w:after="120" w:before="120" w:line="276"/>
        <w:jc w:val="left"/>
      </w:pPr>
      <w:r>
        <w:rPr>
          <w:rFonts w:ascii="Georgia" w:cs="Georgia" w:eastAsia="Georgia" w:hAnsi="Georgia"/>
          <w:color w:val="000000"/>
          <w:sz w:val="22"/>
          <w:szCs w:val="22"/>
        </w:rPr>
        <w:t xml:space="preserve">The following existing engineering systems provide direct precedent for VAHS structural components:</w:t>
      </w:r>
    </w:p>
    <w:p>
      <w:pPr>
        <w:pStyle w:val="ListParagraph"/>
        <w:numPr>
          <w:ilvl w:val="0"/>
          <w:numId w:val="2"/>
        </w:numPr>
        <w:spacing w:after="60" w:before="60"/>
      </w:pPr>
      <w:r>
        <w:rPr>
          <w:rFonts w:ascii="Georgia" w:cs="Georgia" w:eastAsia="Georgia" w:hAnsi="Georgia"/>
          <w:sz w:val="22"/>
          <w:szCs w:val="22"/>
        </w:rPr>
        <w:t xml:space="preserve">High-head hydroelectric penstocks: Bieudron Power Station (1,883m head) demonstrates steel penstock viability at pressures approaching VAHS requirements.</w:t>
      </w:r>
    </w:p>
    <w:p>
      <w:pPr>
        <w:pStyle w:val="ListParagraph"/>
        <w:numPr>
          <w:ilvl w:val="0"/>
          <w:numId w:val="2"/>
        </w:numPr>
        <w:spacing w:after="60" w:before="60"/>
      </w:pPr>
      <w:r>
        <w:rPr>
          <w:rFonts w:ascii="Georgia" w:cs="Georgia" w:eastAsia="Georgia" w:hAnsi="Georgia"/>
          <w:sz w:val="22"/>
          <w:szCs w:val="22"/>
        </w:rPr>
        <w:t xml:space="preserve">Deep mine water management: South African gold mines manage water at depths exceeding 3,000 meters using multi-stage pumping and thick-walled steel piping.</w:t>
      </w:r>
    </w:p>
    <w:p>
      <w:pPr>
        <w:pStyle w:val="ListParagraph"/>
        <w:numPr>
          <w:ilvl w:val="0"/>
          <w:numId w:val="2"/>
        </w:numPr>
        <w:spacing w:after="60" w:before="60"/>
      </w:pPr>
      <w:r>
        <w:rPr>
          <w:rFonts w:ascii="Georgia" w:cs="Georgia" w:eastAsia="Georgia" w:hAnsi="Georgia"/>
          <w:sz w:val="22"/>
          <w:szCs w:val="22"/>
        </w:rPr>
        <w:t xml:space="preserve">Submarine pressure hulls: Naval architecture provides material science and pressure vessel design principles for extreme hydrostatic environments.</w:t>
      </w:r>
    </w:p>
    <w:p>
      <w:pPr>
        <w:pStyle w:val="ListParagraph"/>
        <w:numPr>
          <w:ilvl w:val="0"/>
          <w:numId w:val="2"/>
        </w:numPr>
        <w:spacing w:after="60" w:before="60"/>
      </w:pPr>
      <w:r>
        <w:rPr>
          <w:rFonts w:ascii="Georgia" w:cs="Georgia" w:eastAsia="Georgia" w:hAnsi="Georgia"/>
          <w:sz w:val="22"/>
          <w:szCs w:val="22"/>
        </w:rPr>
        <w:t xml:space="preserve">Building-integrated pumped storage: The SOM-Energy Vault EVc concept (2024) demonstrates that building-integrated hydraulic storage is under active commercial development for structures above 300 meters.</w:t>
      </w:r>
    </w:p>
    <w:p>
      <w:pPr>
        <w:spacing w:after="60" w:before="60"/>
      </w:pPr>
      <w:r>
        <w:t xml:space="preserve"/>
      </w:r>
    </w:p>
    <w:p>
      <w:pPr>
        <w:pStyle w:val="Heading2"/>
        <w:spacing w:after="120" w:before="240"/>
      </w:pPr>
      <w:r>
        <w:rPr>
          <w:rFonts w:ascii="Arial" w:cs="Arial" w:eastAsia="Arial" w:hAnsi="Arial"/>
          <w:b/>
          <w:bCs/>
          <w:color w:val="2E7D9E"/>
          <w:sz w:val="24"/>
          <w:szCs w:val="24"/>
        </w:rPr>
        <w:t xml:space="preserve">4.4 Failure Modes and Redundancy</w:t>
      </w:r>
    </w:p>
    <w:p>
      <w:pPr>
        <w:spacing w:after="120" w:before="120" w:line="276"/>
        <w:jc w:val="left"/>
      </w:pPr>
      <w:r>
        <w:rPr>
          <w:rFonts w:ascii="Georgia" w:cs="Georgia" w:eastAsia="Georgia" w:hAnsi="Georgia"/>
          <w:color w:val="000000"/>
          <w:sz w:val="22"/>
          <w:szCs w:val="22"/>
        </w:rPr>
        <w:t xml:space="preserve">The primary failure modes of the VAHS are pipe rupture from fatigue or water hammer, cavitation at high-velocity low-pressure zones, and vibration transmission from turbine operation into residential structural members. The literature on redundant hydraulic design addresses these through N+1 parallel penstocks with independent isolation valves, surge tanks and burst disks at each tier boundary, elastomeric isolation mounts separating turbine housings from structural members, and continuous pressure monitoring with automated valve management. These are not novel engineering requirements; they are standard practice in high-head hydro that has not previously been applied at building scale.</w:t>
      </w:r>
    </w:p>
    <w:p>
      <w:pPr>
        <w:pStyle w:val="Heading1"/>
        <w:spacing w:after="180" w:before="360"/>
      </w:pPr>
      <w:r>
        <w:rPr>
          <w:rFonts w:ascii="Arial" w:cs="Arial" w:eastAsia="Arial" w:hAnsi="Arial"/>
          <w:b/>
          <w:bCs/>
          <w:color w:val="1B3A5C"/>
          <w:sz w:val="28"/>
          <w:szCs w:val="28"/>
        </w:rPr>
        <w:t xml:space="preserve">5. The VAHS in Context — What Exists and What is New</w:t>
      </w:r>
    </w:p>
    <w:p>
      <w:pPr>
        <w:pStyle w:val="Heading2"/>
        <w:spacing w:after="120" w:before="240"/>
      </w:pPr>
      <w:r>
        <w:rPr>
          <w:rFonts w:ascii="Arial" w:cs="Arial" w:eastAsia="Arial" w:hAnsi="Arial"/>
          <w:b/>
          <w:bCs/>
          <w:color w:val="2E7D9E"/>
          <w:sz w:val="24"/>
          <w:szCs w:val="24"/>
        </w:rPr>
        <w:t xml:space="preserve">5.1 Existing Proposals</w:t>
      </w:r>
    </w:p>
    <w:p>
      <w:pPr>
        <w:spacing w:after="120" w:before="120" w:line="276"/>
        <w:jc w:val="left"/>
      </w:pPr>
      <w:r>
        <w:rPr>
          <w:rFonts w:ascii="Georgia" w:cs="Georgia" w:eastAsia="Georgia" w:hAnsi="Georgia"/>
          <w:color w:val="000000"/>
          <w:sz w:val="22"/>
          <w:szCs w:val="22"/>
        </w:rPr>
        <w:t xml:space="preserve">A search of the engineering and architectural literature identified the following concepts in the proximity of the VAHS proposal:</w:t>
      </w:r>
    </w:p>
    <w:p>
      <w:pPr>
        <w:pStyle w:val="ListParagraph"/>
        <w:numPr>
          <w:ilvl w:val="0"/>
          <w:numId w:val="2"/>
        </w:numPr>
        <w:spacing w:after="60" w:before="60"/>
      </w:pPr>
      <w:r>
        <w:rPr>
          <w:rFonts w:ascii="Georgia" w:cs="Georgia" w:eastAsia="Georgia" w:hAnsi="Georgia"/>
          <w:sz w:val="22"/>
          <w:szCs w:val="22"/>
        </w:rPr>
        <w:t xml:space="preserve">SOM-Energy Vault EVc concept (2024): The architectural firm SOM, designers of the Burj Khalifa, partnered with Energy Vault to develop building-integrated pumped hydro storage for structures above 300 meters. This is the closest existing commercial development to the VAHS. Critically, the EVc concept assumes water is supplied from external municipal sources — it does not incorporate atmospheric water harvesting at elevation.</w:t>
      </w:r>
    </w:p>
    <w:p>
      <w:pPr>
        <w:pStyle w:val="ListParagraph"/>
        <w:numPr>
          <w:ilvl w:val="0"/>
          <w:numId w:val="2"/>
        </w:numPr>
        <w:spacing w:after="60" w:before="60"/>
      </w:pPr>
      <w:r>
        <w:rPr>
          <w:rFonts w:ascii="Georgia" w:cs="Georgia" w:eastAsia="Georgia" w:hAnsi="Georgia"/>
          <w:sz w:val="22"/>
          <w:szCs w:val="22"/>
        </w:rPr>
        <w:t xml:space="preserve">Energy Vault EVu concept (2024): A complementary SOM-Energy Vault proposal for buildings up to 1,000 meters using both water transfer and composite block gravity storage.</w:t>
      </w:r>
    </w:p>
    <w:p>
      <w:pPr>
        <w:pStyle w:val="ListParagraph"/>
        <w:numPr>
          <w:ilvl w:val="0"/>
          <w:numId w:val="2"/>
        </w:numPr>
        <w:spacing w:after="60" w:before="60"/>
      </w:pPr>
      <w:r>
        <w:rPr>
          <w:rFonts w:ascii="Georgia" w:cs="Georgia" w:eastAsia="Georgia" w:hAnsi="Georgia"/>
          <w:sz w:val="22"/>
          <w:szCs w:val="22"/>
        </w:rPr>
        <w:t xml:space="preserve">Building-integrated micro-hydro: Various proposals for greywater energy recovery in tall buildings, typically generating kilowatts rather than megawatts and using head heights of tens rather than hundreds of meters.</w:t>
      </w:r>
    </w:p>
    <w:p>
      <w:pPr>
        <w:pStyle w:val="ListParagraph"/>
        <w:numPr>
          <w:ilvl w:val="0"/>
          <w:numId w:val="2"/>
        </w:numPr>
        <w:spacing w:after="60" w:before="60"/>
      </w:pPr>
      <w:r>
        <w:rPr>
          <w:rFonts w:ascii="Georgia" w:cs="Georgia" w:eastAsia="Georgia" w:hAnsi="Georgia"/>
          <w:sz w:val="22"/>
          <w:szCs w:val="22"/>
        </w:rPr>
        <w:t xml:space="preserve">Gravity batteries: Systems using solid masses (concrete blocks, rail cars) to store and release energy through elevation change. Energy Vault's original system used this principle at smaller scales.</w:t>
      </w:r>
    </w:p>
    <w:p>
      <w:pPr>
        <w:pStyle w:val="Heading2"/>
        <w:spacing w:after="120" w:before="240"/>
      </w:pPr>
      <w:r>
        <w:rPr>
          <w:rFonts w:ascii="Arial" w:cs="Arial" w:eastAsia="Arial" w:hAnsi="Arial"/>
          <w:b/>
          <w:bCs/>
          <w:color w:val="2E7D9E"/>
          <w:sz w:val="24"/>
          <w:szCs w:val="24"/>
        </w:rPr>
        <w:t xml:space="preserve">5.2 The Novel Delta</w:t>
      </w:r>
    </w:p>
    <w:p>
      <w:pPr>
        <w:spacing w:after="120" w:before="120" w:line="276"/>
        <w:jc w:val="left"/>
      </w:pPr>
      <w:r>
        <w:rPr>
          <w:rFonts w:ascii="Georgia" w:cs="Georgia" w:eastAsia="Georgia" w:hAnsi="Georgia"/>
          <w:color w:val="000000"/>
          <w:sz w:val="22"/>
          <w:szCs w:val="22"/>
        </w:rPr>
        <w:t xml:space="preserve">The VAHS advances beyond all existing proposals in one specific and consequential way: the introduction of atmospheric water harvesting at sky-tier elevation as the primary water source. This single modification transforms the system from a pure energy storage device — which must be charged from the grid at a round-trip efficiency penalty — into a conditional energy generator, harvesting free solar-cycle potential energy stored in atmospheric moisture.</w:t>
      </w:r>
    </w:p>
    <w:p>
      <w:pPr>
        <w:spacing w:after="120" w:before="120" w:line="276"/>
        <w:jc w:val="left"/>
      </w:pPr>
      <w:r>
        <w:rPr>
          <w:rFonts w:ascii="Georgia" w:cs="Georgia" w:eastAsia="Georgia" w:hAnsi="Georgia"/>
          <w:color w:val="000000"/>
          <w:sz w:val="22"/>
          <w:szCs w:val="22"/>
        </w:rPr>
        <w:t xml:space="preserve">No existing peer-reviewed literature proposes this integration. The combination of extreme-head hydraulic generation, closed-loop municipal water infrastructure, and in-situ atmospheric water harvesting as free energy input into a single vertical architectural system is genuinely novel territory.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9E" w:sz="1"/>
              <w:left w:val="single" w:color="2E7D9E" w:sz="1"/>
              <w:bottom w:val="single" w:color="2E7D9E" w:sz="1"/>
              <w:right w:val="single" w:color="2E7D9E" w:sz="1"/>
            </w:tcBorders>
            <w:shd w:fill="EAF3F8" w:val="clear"/>
            <w:tcMar>
              <w:top w:type="dxa" w:w="120"/>
              <w:left w:type="dxa" w:w="180"/>
              <w:bottom w:type="dxa" w:w="120"/>
              <w:right w:type="dxa" w:w="180"/>
            </w:tcMar>
          </w:tcPr>
          <w:p>
            <w:pPr>
              <w:spacing w:after="60" w:before="60"/>
            </w:pPr>
            <w:r>
              <w:rPr>
                <w:rFonts w:ascii="Arial" w:cs="Arial" w:eastAsia="Arial" w:hAnsi="Arial"/>
                <w:b/>
                <w:bCs/>
                <w:color w:val="1B3A5C"/>
                <w:sz w:val="22"/>
                <w:szCs w:val="22"/>
              </w:rPr>
              <w:t xml:space="preserve">The Novel Contribution Precisely Stated</w:t>
            </w:r>
          </w:p>
          <w:p>
            <w:pPr>
              <w:spacing w:after="60" w:before="60" w:line="276"/>
            </w:pPr>
            <w:r>
              <w:rPr>
                <w:rFonts w:ascii="Georgia" w:cs="Georgia" w:eastAsia="Georgia" w:hAnsi="Georgia"/>
                <w:sz w:val="22"/>
                <w:szCs w:val="22"/>
              </w:rPr>
              <w:t xml:space="preserve">The SOM-Energy Vault EVc concept establishes that building-integrated pumped hydro storage is technically feasible and commercially viable for structures above 300 meters. The VAHS extends this established concept by: (1) scaling to head heights of 800 to 2,000 meters, an order of magnitude beyond current proposals; (2) integrating atmospheric water harvesting at altitude as a free energy source rather than grid-charged pumping; (3) unifying the energy storage function with the municipal water supply function into a single dual-use infrastructure; and (4) establishing the thermodynamic accounting framework for dual-use water-energy systems, which does not exist in the current literature.</w:t>
            </w:r>
          </w:p>
        </w:tc>
      </w:tr>
    </w:tbl>
    <w:p>
      <w:pPr>
        <w:spacing w:after="60" w:before="60"/>
      </w:pPr>
      <w:r>
        <w:t xml:space="preserve"/>
      </w:r>
    </w:p>
    <w:p>
      <w:pPr>
        <w:pStyle w:val="Heading1"/>
        <w:spacing w:after="180" w:before="360"/>
      </w:pPr>
      <w:r>
        <w:rPr>
          <w:rFonts w:ascii="Arial" w:cs="Arial" w:eastAsia="Arial" w:hAnsi="Arial"/>
          <w:b/>
          <w:bCs/>
          <w:color w:val="1B3A5C"/>
          <w:sz w:val="28"/>
          <w:szCs w:val="28"/>
        </w:rPr>
        <w:t xml:space="preserve">6. Planetary-Scale Hydraulic Considerations</w:t>
      </w:r>
    </w:p>
    <w:p>
      <w:pPr>
        <w:pStyle w:val="Heading2"/>
        <w:spacing w:after="120" w:before="240"/>
      </w:pPr>
      <w:r>
        <w:rPr>
          <w:rFonts w:ascii="Arial" w:cs="Arial" w:eastAsia="Arial" w:hAnsi="Arial"/>
          <w:b/>
          <w:bCs/>
          <w:color w:val="2E7D9E"/>
          <w:sz w:val="24"/>
          <w:szCs w:val="24"/>
        </w:rPr>
        <w:t xml:space="preserve">6.1 The Three Gorges Precedent</w:t>
      </w:r>
    </w:p>
    <w:p>
      <w:pPr>
        <w:spacing w:after="120" w:before="120" w:line="276"/>
        <w:jc w:val="left"/>
      </w:pPr>
      <w:r>
        <w:rPr>
          <w:rFonts w:ascii="Georgia" w:cs="Georgia" w:eastAsia="Georgia" w:hAnsi="Georgia"/>
          <w:color w:val="000000"/>
          <w:sz w:val="22"/>
          <w:szCs w:val="22"/>
        </w:rPr>
        <w:t xml:space="preserve">The Three Gorges Dam provides the most thoroughly analyzed case of large-scale hydraulic infrastructure affecting geophysical systems at planetary scale. NASA calculations (Chao and Gross, Geophysical Research Letters, 2005) established that the reservoir's impounded mass of approximately 40 cubic kilometers altered Earth's moment of inertia, producing a theoretical lengthening of the day by 0.06 microseconds and a polar shift of approximately 2 centimeters. These effects are physically real but undetectable above natural variability — they are thousands of times smaller than climate-driven rotational changes from ice sheet mass redistribution.</w:t>
      </w:r>
    </w:p>
    <w:p>
      <w:pPr>
        <w:spacing w:after="120" w:before="120" w:line="276"/>
        <w:jc w:val="left"/>
      </w:pPr>
      <w:r>
        <w:rPr>
          <w:rFonts w:ascii="Georgia" w:cs="Georgia" w:eastAsia="Georgia" w:hAnsi="Georgia"/>
          <w:color w:val="000000"/>
          <w:sz w:val="22"/>
          <w:szCs w:val="22"/>
        </w:rPr>
        <w:t xml:space="preserve">The practical effects of Three Gorges are more significant at local and regional scales: altered sediment transport, downstream hydrological regime changes, and reservoir-induced seismicity. The Zipingpu Reservoir literature (Ge et al., 2009, Geophysical Research Letters; Tao et al., 2015, Journal of Geophysical Research) suggests that reservoir impoundment may advance tectonic loading on pre-stressed faults, though the peer-reviewed consensus does not support independent triggering of major earthquake events.</w:t>
      </w:r>
    </w:p>
    <w:p>
      <w:pPr>
        <w:pStyle w:val="Heading2"/>
        <w:spacing w:after="120" w:before="240"/>
      </w:pPr>
      <w:r>
        <w:rPr>
          <w:rFonts w:ascii="Arial" w:cs="Arial" w:eastAsia="Arial" w:hAnsi="Arial"/>
          <w:b/>
          <w:bCs/>
          <w:color w:val="2E7D9E"/>
          <w:sz w:val="24"/>
          <w:szCs w:val="24"/>
        </w:rPr>
        <w:t xml:space="preserve">6.2 The VAHS as Closed System</w:t>
      </w:r>
    </w:p>
    <w:p>
      <w:pPr>
        <w:spacing w:after="120" w:before="120" w:line="276"/>
        <w:jc w:val="left"/>
      </w:pPr>
      <w:r>
        <w:rPr>
          <w:rFonts w:ascii="Georgia" w:cs="Georgia" w:eastAsia="Georgia" w:hAnsi="Georgia"/>
          <w:color w:val="000000"/>
          <w:sz w:val="22"/>
          <w:szCs w:val="22"/>
        </w:rPr>
        <w:t xml:space="preserve">The VAHS is fundamentally different from large open-reservoir dams in its planetary interaction profile. The VAHS does not impound a river, alter downstream flow regimes, or concentrate mass redistribution at a single geographic point. Its water cycle is closed: atmospheric water is harvested, passes through the system, and is either consumed by residents — eventually returning to the hydrological cycle through normal metabolic processes — or recycled within the structure.</w:t>
      </w:r>
    </w:p>
    <w:p>
      <w:pPr>
        <w:spacing w:after="120" w:before="120" w:line="276"/>
        <w:jc w:val="left"/>
      </w:pPr>
      <w:r>
        <w:rPr>
          <w:rFonts w:ascii="Georgia" w:cs="Georgia" w:eastAsia="Georgia" w:hAnsi="Georgia"/>
          <w:color w:val="000000"/>
          <w:sz w:val="22"/>
          <w:szCs w:val="22"/>
        </w:rPr>
        <w:t xml:space="preserve">A network of nine to twelve VAHS clusters, each consuming approximately 1.3 billion liters of water per year from the atmospheric water cycle, represents a negligible fraction of global annual evaporation (approximately 5.1 x 10´² liters). The planetary water budget implication is effectively zero.</w:t>
      </w:r>
    </w:p>
    <w:p>
      <w:pPr>
        <w:pStyle w:val="Heading2"/>
        <w:spacing w:after="120" w:before="240"/>
      </w:pPr>
      <w:r>
        <w:rPr>
          <w:rFonts w:ascii="Arial" w:cs="Arial" w:eastAsia="Arial" w:hAnsi="Arial"/>
          <w:b/>
          <w:bCs/>
          <w:color w:val="2E7D9E"/>
          <w:sz w:val="24"/>
          <w:szCs w:val="24"/>
        </w:rPr>
        <w:t xml:space="preserve">6.3 Distributed vs Concentrated Extraction</w:t>
      </w:r>
    </w:p>
    <w:p>
      <w:pPr>
        <w:spacing w:after="120" w:before="120" w:line="276"/>
        <w:jc w:val="left"/>
      </w:pPr>
      <w:r>
        <w:rPr>
          <w:rFonts w:ascii="Georgia" w:cs="Georgia" w:eastAsia="Georgia" w:hAnsi="Georgia"/>
          <w:color w:val="000000"/>
          <w:sz w:val="22"/>
          <w:szCs w:val="22"/>
        </w:rPr>
        <w:t xml:space="preserve">The theoretical and empirical literature on hydraulic energy extraction consistently supports the principle that distributed small-scale extraction is less disruptive to fluid dynamic systems than concentrated large-scale extraction. Garrett and Cummins (2005, Proceedings of the Royal Society A) established that tidal channel extraction above approximately 15 to 20 percent of theoretical maximum produces measurable effects on far-field tidal amplitude. For in-river systems, distributed turbine arrays preserve sediment transport and migration corridors more effectively than single large installations.</w:t>
      </w:r>
    </w:p>
    <w:p>
      <w:pPr>
        <w:spacing w:after="120" w:before="120" w:line="276"/>
        <w:jc w:val="left"/>
      </w:pPr>
      <w:r>
        <w:rPr>
          <w:rFonts w:ascii="Georgia" w:cs="Georgia" w:eastAsia="Georgia" w:hAnsi="Georgia"/>
          <w:color w:val="000000"/>
          <w:sz w:val="22"/>
          <w:szCs w:val="22"/>
        </w:rPr>
        <w:t xml:space="preserve">The VAHS, by operating as a closed atmospheric system rather than an open river system, sidesteps this consideration entirely. It does not extract energy from surface water flows or tidal systems. It harvests the diffuse atmospheric moisture fraction of the solar-driven water cycle, which is effectively unlimited at the scale of individual structures.</w:t>
      </w:r>
    </w:p>
    <w:p>
      <w:pPr>
        <w:pStyle w:val="Heading1"/>
        <w:spacing w:after="180" w:before="360"/>
      </w:pPr>
      <w:r>
        <w:rPr>
          <w:rFonts w:ascii="Arial" w:cs="Arial" w:eastAsia="Arial" w:hAnsi="Arial"/>
          <w:b/>
          <w:bCs/>
          <w:color w:val="1B3A5C"/>
          <w:sz w:val="28"/>
          <w:szCs w:val="28"/>
        </w:rPr>
        <w:t xml:space="preserve">7. Theoretical Contribution and Research Agenda</w:t>
      </w:r>
    </w:p>
    <w:p>
      <w:pPr>
        <w:pStyle w:val="Heading2"/>
        <w:spacing w:after="120" w:before="240"/>
      </w:pPr>
      <w:r>
        <w:rPr>
          <w:rFonts w:ascii="Arial" w:cs="Arial" w:eastAsia="Arial" w:hAnsi="Arial"/>
          <w:b/>
          <w:bCs/>
          <w:color w:val="2E7D9E"/>
          <w:sz w:val="24"/>
          <w:szCs w:val="24"/>
        </w:rPr>
        <w:t xml:space="preserve">7.1 Contribution Statement</w:t>
      </w:r>
    </w:p>
    <w:p>
      <w:pPr>
        <w:spacing w:after="120" w:before="120" w:line="276"/>
        <w:jc w:val="left"/>
      </w:pPr>
      <w:r>
        <w:rPr>
          <w:rFonts w:ascii="Georgia" w:cs="Georgia" w:eastAsia="Georgia" w:hAnsi="Georgia"/>
          <w:color w:val="000000"/>
          <w:sz w:val="22"/>
          <w:szCs w:val="22"/>
        </w:rPr>
        <w:t xml:space="preserve">The Vertical Arcology Hydraulic Spine (VAHS) introduces a theoretical energy architecture framework in which the vertical height of a megastructure functions simultaneously as inhabited space, hydraulic generation head, gravity battery, municipal water infrastructure, and atmospheric water harvesting system. The proposal applies established hydropower physics, confirmed operational at 1,883 meters head at the Bieudron Power Station, to an architectural context that has not previously been addressed in the peer-reviewed literature.</w:t>
      </w:r>
    </w:p>
    <w:p>
      <w:pPr>
        <w:spacing w:after="120" w:before="120" w:line="276"/>
        <w:jc w:val="left"/>
      </w:pPr>
      <w:r>
        <w:rPr>
          <w:rFonts w:ascii="Georgia" w:cs="Georgia" w:eastAsia="Georgia" w:hAnsi="Georgia"/>
          <w:color w:val="000000"/>
          <w:sz w:val="22"/>
          <w:szCs w:val="22"/>
        </w:rPr>
        <w:t xml:space="preserve">The SOM-Energy Vault EVc concept (2024) establishes that building-integrated pumped hydro storage is commercially viable for structures above 300 meters. The VAHS extends this foundation by proposing atmospheric water harvesting at sky-tier elevation as the primary water source, introducing free solar-cycle potential energy and fundamentally altering the thermodynamic accounting from pure storage to conditional net generation. The dual-use water-energy accounting framework developed in this paper — in which pumping costs are amortized across water supply and energy storage functions — does not exist in current literature.</w:t>
      </w:r>
    </w:p>
    <w:p>
      <w:pPr>
        <w:spacing w:after="120" w:before="120" w:line="276"/>
        <w:jc w:val="left"/>
      </w:pPr>
      <w:r>
        <w:rPr>
          <w:rFonts w:ascii="Georgia" w:cs="Georgia" w:eastAsia="Georgia" w:hAnsi="Georgia"/>
          <w:color w:val="000000"/>
          <w:sz w:val="22"/>
          <w:szCs w:val="22"/>
        </w:rPr>
        <w:t xml:space="preserve">The absence of this concept from existing engineering and architectural literature is itself significant. The SOM-Energy Vault collaboration demonstrates that the building industry is beginning to recognize the potential of vertical height as hydraulic infrastructure. The VAHS names the next logical step in that trajectory and provides the theoretical framework for its development.</w:t>
      </w:r>
    </w:p>
    <w:p>
      <w:pPr>
        <w:pStyle w:val="Heading2"/>
        <w:spacing w:after="120" w:before="240"/>
      </w:pPr>
      <w:r>
        <w:rPr>
          <w:rFonts w:ascii="Arial" w:cs="Arial" w:eastAsia="Arial" w:hAnsi="Arial"/>
          <w:b/>
          <w:bCs/>
          <w:color w:val="2E7D9E"/>
          <w:sz w:val="24"/>
          <w:szCs w:val="24"/>
        </w:rPr>
        <w:t xml:space="preserve">7.2 Research Agenda</w:t>
      </w:r>
    </w:p>
    <w:p>
      <w:pPr>
        <w:spacing w:after="120" w:before="120" w:line="276"/>
        <w:jc w:val="left"/>
      </w:pPr>
      <w:r>
        <w:rPr>
          <w:rFonts w:ascii="Georgia" w:cs="Georgia" w:eastAsia="Georgia" w:hAnsi="Georgia"/>
          <w:color w:val="000000"/>
          <w:sz w:val="22"/>
          <w:szCs w:val="22"/>
        </w:rPr>
        <w:t xml:space="preserve">The following research tasks are required to validate or refute the core VAHS proposal. Presignal identifies these as research programs for the engineering and energy science community:</w:t>
      </w:r>
    </w:p>
    <w:p>
      <w:pPr>
        <w:pStyle w:val="ListParagraph"/>
        <w:numPr>
          <w:ilvl w:val="0"/>
          <w:numId w:val="2"/>
        </w:numPr>
        <w:spacing w:after="60" w:before="60"/>
      </w:pPr>
      <w:r>
        <w:rPr>
          <w:rFonts w:ascii="Georgia" w:cs="Georgia" w:eastAsia="Georgia" w:hAnsi="Georgia"/>
          <w:sz w:val="22"/>
          <w:szCs w:val="22"/>
        </w:rPr>
        <w:t xml:space="preserve">Computational fluid dynamics modeling of water hammer propagation in multi-kilometer internal penstock systems with multi-tier cascade architecture, including surge tank sizing and valve closure timing optimization.</w:t>
      </w:r>
    </w:p>
    <w:p>
      <w:pPr>
        <w:pStyle w:val="ListParagraph"/>
        <w:numPr>
          <w:ilvl w:val="0"/>
          <w:numId w:val="2"/>
        </w:numPr>
        <w:spacing w:after="60" w:before="60"/>
      </w:pPr>
      <w:r>
        <w:rPr>
          <w:rFonts w:ascii="Georgia" w:cs="Georgia" w:eastAsia="Georgia" w:hAnsi="Georgia"/>
          <w:sz w:val="22"/>
          <w:szCs w:val="22"/>
        </w:rPr>
        <w:t xml:space="preserve">Thermodynamic lifecycle analysis of the atmospheric water harvesting integration at head heights of 800 to 2,000 meters, establishing the net energy balance as a function of atmospheric humidity, collection surface area, and head height.</w:t>
      </w:r>
    </w:p>
    <w:p>
      <w:pPr>
        <w:pStyle w:val="ListParagraph"/>
        <w:numPr>
          <w:ilvl w:val="0"/>
          <w:numId w:val="2"/>
        </w:numPr>
        <w:spacing w:after="60" w:before="60"/>
      </w:pPr>
      <w:r>
        <w:rPr>
          <w:rFonts w:ascii="Georgia" w:cs="Georgia" w:eastAsia="Georgia" w:hAnsi="Georgia"/>
          <w:sz w:val="22"/>
          <w:szCs w:val="22"/>
        </w:rPr>
        <w:t xml:space="preserve">Structural resonance analysis of coupled fluid-structure dynamics in a supertall building containing utility-scale internal hydraulic flow, identifying resonance frequencies and required damping systems.</w:t>
      </w:r>
    </w:p>
    <w:p>
      <w:pPr>
        <w:pStyle w:val="ListParagraph"/>
        <w:numPr>
          <w:ilvl w:val="0"/>
          <w:numId w:val="2"/>
        </w:numPr>
        <w:spacing w:after="60" w:before="60"/>
      </w:pPr>
      <w:r>
        <w:rPr>
          <w:rFonts w:ascii="Georgia" w:cs="Georgia" w:eastAsia="Georgia" w:hAnsi="Georgia"/>
          <w:sz w:val="22"/>
          <w:szCs w:val="22"/>
        </w:rPr>
        <w:t xml:space="preserve">Material science assessment of penstock options for sustained operation at 10 to 20 MPa static pressure with cyclic loading from daily generation and storage cycles.</w:t>
      </w:r>
    </w:p>
    <w:p>
      <w:pPr>
        <w:pStyle w:val="ListParagraph"/>
        <w:numPr>
          <w:ilvl w:val="0"/>
          <w:numId w:val="2"/>
        </w:numPr>
        <w:spacing w:after="60" w:before="60"/>
      </w:pPr>
      <w:r>
        <w:rPr>
          <w:rFonts w:ascii="Georgia" w:cs="Georgia" w:eastAsia="Georgia" w:hAnsi="Georgia"/>
          <w:sz w:val="22"/>
          <w:szCs w:val="22"/>
        </w:rPr>
        <w:t xml:space="preserve">Scaled prototype testing of the atmospheric harvest integration at intermediate head heights (100 to 300 meters) to validate the thermodynamic model and identify engineering failure modes.</w:t>
      </w:r>
    </w:p>
    <w:p>
      <w:pPr>
        <w:pStyle w:val="ListParagraph"/>
        <w:numPr>
          <w:ilvl w:val="0"/>
          <w:numId w:val="2"/>
        </w:numPr>
        <w:spacing w:after="60" w:before="60"/>
      </w:pPr>
      <w:r>
        <w:rPr>
          <w:rFonts w:ascii="Georgia" w:cs="Georgia" w:eastAsia="Georgia" w:hAnsi="Georgia"/>
          <w:sz w:val="22"/>
          <w:szCs w:val="22"/>
        </w:rPr>
        <w:t xml:space="preserve">Economic modeling comparing VAHS against conventional SMR baseload and battery storage at equivalent capacity, incorporating dual-use water-energy cost amortization.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9E" w:sz="1"/>
              <w:left w:val="single" w:color="2E7D9E" w:sz="1"/>
              <w:bottom w:val="single" w:color="2E7D9E" w:sz="1"/>
              <w:right w:val="single" w:color="2E7D9E" w:sz="1"/>
            </w:tcBorders>
            <w:shd w:fill="EAF3F8" w:val="clear"/>
            <w:tcMar>
              <w:top w:type="dxa" w:w="120"/>
              <w:left w:type="dxa" w:w="180"/>
              <w:bottom w:type="dxa" w:w="120"/>
              <w:right w:type="dxa" w:w="180"/>
            </w:tcMar>
          </w:tcPr>
          <w:p>
            <w:pPr>
              <w:spacing w:after="60" w:before="60"/>
            </w:pPr>
            <w:r>
              <w:rPr>
                <w:rFonts w:ascii="Arial" w:cs="Arial" w:eastAsia="Arial" w:hAnsi="Arial"/>
                <w:b/>
                <w:bCs/>
                <w:color w:val="1B3A5C"/>
                <w:sz w:val="22"/>
                <w:szCs w:val="22"/>
              </w:rPr>
              <w:t xml:space="preserve">The Niagara Observation</w:t>
            </w:r>
          </w:p>
          <w:p>
            <w:pPr>
              <w:spacing w:after="60" w:before="60" w:line="276"/>
            </w:pPr>
            <w:r>
              <w:rPr>
                <w:rFonts w:ascii="Georgia" w:cs="Georgia" w:eastAsia="Georgia" w:hAnsi="Georgia"/>
                <w:sz w:val="22"/>
                <w:szCs w:val="22"/>
              </w:rPr>
              <w:t xml:space="preserve">The Niagara River hydroelectric system has generated power continuously since 1906, producing an average of approximately 4,900 MW from both US and Canadian facilities combined, using a hydraulic head of 58 to 99 meters and flow rates of thousands of cubic meters per second. A VAHS operating at 2,000 meters head achieves comparable output at 100 cubic meters per second — a flow rate equivalent to a modest river tributary. The founding geography of Presignal Inc. — the Niagara Region of Ontario, situated directly above the Canadian Shield, the highest-ranked site in the Global Geostability Index — is not incidental to this observation. The Niagara system demonstrates that gravity-fed hydraulic generation is a century-proven technology. The VAHS proposes to internalize that technology within the structure that replaces the geographic frontier.</w:t>
            </w:r>
          </w:p>
        </w:tc>
      </w:tr>
    </w:tbl>
    <w:p>
      <w:pPr>
        <w:spacing w:after="60" w:before="60"/>
      </w:pPr>
      <w:r>
        <w:t xml:space="preserve"/>
      </w:r>
    </w:p>
    <w:p>
      <w:pPr>
        <w:pStyle w:val="Heading1"/>
        <w:spacing w:after="180" w:before="360"/>
      </w:pPr>
      <w:r>
        <w:rPr>
          <w:rFonts w:ascii="Arial" w:cs="Arial" w:eastAsia="Arial" w:hAnsi="Arial"/>
          <w:b/>
          <w:bCs/>
          <w:color w:val="1B3A5C"/>
          <w:sz w:val="28"/>
          <w:szCs w:val="28"/>
        </w:rPr>
        <w:t xml:space="preserve">8. Conclusions</w:t>
      </w:r>
    </w:p>
    <w:p>
      <w:pPr>
        <w:spacing w:after="120" w:before="120" w:line="276"/>
        <w:jc w:val="left"/>
      </w:pPr>
      <w:r>
        <w:rPr>
          <w:rFonts w:ascii="Georgia" w:cs="Georgia" w:eastAsia="Georgia" w:hAnsi="Georgia"/>
          <w:color w:val="000000"/>
          <w:sz w:val="22"/>
          <w:szCs w:val="22"/>
        </w:rPr>
        <w:t xml:space="preserve">The Vertical Arcology Hydraulic Spine is not a claim of new physics. It is a claim of new synthesis. Every component technology exists. Pelton turbines at extreme head are proven. Pumped storage hydropower is the dominant global grid-scale storage technology. Atmospheric water harvesting is an active commercial field. High-pressure penstock design from Alpine hydro and deep mine engineering is documented. The SOM-Energy Vault EVc concept demonstrates that the architecture industry is beginning to recognize building height as hydraulic infrastructure.</w:t>
      </w:r>
    </w:p>
    <w:p>
      <w:pPr>
        <w:spacing w:after="120" w:before="120" w:line="276"/>
        <w:jc w:val="left"/>
      </w:pPr>
      <w:r>
        <w:rPr>
          <w:rFonts w:ascii="Georgia" w:cs="Georgia" w:eastAsia="Georgia" w:hAnsi="Georgia"/>
          <w:color w:val="000000"/>
          <w:sz w:val="22"/>
          <w:szCs w:val="22"/>
        </w:rPr>
        <w:t xml:space="preserve">The VAHS names the complete system: a vertical megastructure in which the hydraulic spine is not a secondary infrastructure bolted onto the design but the primary structural and energetic logic around which all other systems are organized. Water descends from the sky. It generates power. It supplies residents. It is recycled and lifted again. The structure is simultaneously a city, a power station, a water utility, and a gravity battery.</w:t>
      </w:r>
    </w:p>
    <w:p>
      <w:pPr>
        <w:spacing w:after="120" w:before="120" w:line="276"/>
        <w:jc w:val="left"/>
      </w:pPr>
      <w:r>
        <w:rPr>
          <w:rFonts w:ascii="Georgia" w:cs="Georgia" w:eastAsia="Georgia" w:hAnsi="Georgia"/>
          <w:color w:val="000000"/>
          <w:sz w:val="22"/>
          <w:szCs w:val="22"/>
        </w:rPr>
        <w:t xml:space="preserve">At 2,000 meters head and 100 cubic meters per second, the theoretical output of 1,766 MW positions a single VAHS cluster within the range of major national power generating assets. At more conservative scales — 800 meters head, 10 cubic meters per second — the output of 70 MW provides meaningful distributed generation within a single structure's energy budget. The Bieudron precedent confirms the physics. The Niagara precedent confirms the longevity. The SOM-Energy Vault precedent confirms the commercial direction.</w:t>
      </w:r>
    </w:p>
    <w:p>
      <w:pPr>
        <w:spacing w:after="120" w:before="120" w:line="276"/>
        <w:jc w:val="left"/>
      </w:pPr>
      <w:r>
        <w:rPr>
          <w:rFonts w:ascii="Georgia" w:cs="Georgia" w:eastAsia="Georgia" w:hAnsi="Georgia"/>
          <w:color w:val="000000"/>
          <w:sz w:val="22"/>
          <w:szCs w:val="22"/>
        </w:rPr>
        <w:t xml:space="preserve">The research agenda presented in Section 7.2 identifies the specific engineering tasks required to move from theoretical framework to validated design. The VAHS is offered to the engineering and energy science communities as a named concept and a structured research program, not as a completed technology. The next step is not here. It is in the laboratories and simulation environments of the people who will read this paper and recognize the problem it has named.</w:t>
      </w:r>
    </w:p>
    <w:p>
      <w:pPr>
        <w:pBdr>
          <w:bottom w:val="single" w:color="1B3A5C" w:sz="6" w:space="1"/>
        </w:pBdr>
        <w:spacing w:after="60" w:before="60"/>
      </w:pPr>
      <w:r>
        <w:t xml:space="preserve"/>
      </w:r>
    </w:p>
    <w:p>
      <w:pPr>
        <w:spacing w:after="60" w:before="60"/>
      </w:pPr>
      <w:r>
        <w:t xml:space="preserve"/>
      </w:r>
    </w:p>
    <w:p>
      <w:pPr>
        <w:pStyle w:val="Heading1"/>
        <w:spacing w:after="180" w:before="360"/>
      </w:pPr>
      <w:r>
        <w:rPr>
          <w:rFonts w:ascii="Arial" w:cs="Arial" w:eastAsia="Arial" w:hAnsi="Arial"/>
          <w:b/>
          <w:bCs/>
          <w:color w:val="1B3A5C"/>
          <w:sz w:val="28"/>
          <w:szCs w:val="28"/>
        </w:rPr>
        <w:t xml:space="preserve">References</w:t>
      </w:r>
    </w:p>
    <w:p>
      <w:pPr>
        <w:spacing w:after="120" w:before="120" w:line="276"/>
        <w:jc w:val="left"/>
      </w:pPr>
      <w:r>
        <w:rPr>
          <w:rFonts w:ascii="Georgia" w:cs="Georgia" w:eastAsia="Georgia" w:hAnsi="Georgia"/>
          <w:color w:val="000000"/>
          <w:sz w:val="22"/>
          <w:szCs w:val="22"/>
        </w:rPr>
        <w:t xml:space="preserve">[1] Chao, B.F., &amp; Gross, R.S. (1995). Changes in the Earth's rotational energy invoked by earthquakes. Geophysical Journal International, 122(3), 776-783.</w:t>
      </w:r>
    </w:p>
    <w:p>
      <w:pPr>
        <w:spacing w:after="120" w:before="120" w:line="276"/>
        <w:jc w:val="left"/>
      </w:pPr>
      <w:r>
        <w:rPr>
          <w:rFonts w:ascii="Georgia" w:cs="Georgia" w:eastAsia="Georgia" w:hAnsi="Georgia"/>
          <w:color w:val="000000"/>
          <w:sz w:val="22"/>
          <w:szCs w:val="22"/>
        </w:rPr>
        <w:t xml:space="preserve">[2] Boy, J.P., &amp; Chao, B.F. (2002). Time-variable gravity signal during the water impoundment of China's Three-Gorges Reservoir. Geophysical Research Letters, 29(24). DOI: 10.1029/2002GL016457</w:t>
      </w:r>
    </w:p>
    <w:p>
      <w:pPr>
        <w:spacing w:after="120" w:before="120" w:line="276"/>
        <w:jc w:val="left"/>
      </w:pPr>
      <w:r>
        <w:rPr>
          <w:rFonts w:ascii="Georgia" w:cs="Georgia" w:eastAsia="Georgia" w:hAnsi="Georgia"/>
          <w:color w:val="000000"/>
          <w:sz w:val="22"/>
          <w:szCs w:val="22"/>
        </w:rPr>
        <w:t xml:space="preserve">[3] Ge, S., Liu, M., Lu, N., Godt, J.W., &amp; Luo, G. (2009). Did the Zipingpu Reservoir trigger the 2008 Wenchuan earthquake? Geophysical Research Letters, 36, L20315. DOI: 10.1029/2009GL040349</w:t>
      </w:r>
    </w:p>
    <w:p>
      <w:pPr>
        <w:spacing w:after="120" w:before="120" w:line="276"/>
        <w:jc w:val="left"/>
      </w:pPr>
      <w:r>
        <w:rPr>
          <w:rFonts w:ascii="Georgia" w:cs="Georgia" w:eastAsia="Georgia" w:hAnsi="Georgia"/>
          <w:color w:val="000000"/>
          <w:sz w:val="22"/>
          <w:szCs w:val="22"/>
        </w:rPr>
        <w:t xml:space="preserve">[4] Garrett, C., &amp; Cummins, P. (2005). The power potential of tidal currents in channels. Proceedings of the Royal Society A, 461(2060), 2563-2572.</w:t>
      </w:r>
    </w:p>
    <w:p>
      <w:pPr>
        <w:spacing w:after="120" w:before="120" w:line="276"/>
        <w:jc w:val="left"/>
      </w:pPr>
      <w:r>
        <w:rPr>
          <w:rFonts w:ascii="Georgia" w:cs="Georgia" w:eastAsia="Georgia" w:hAnsi="Georgia"/>
          <w:color w:val="000000"/>
          <w:sz w:val="22"/>
          <w:szCs w:val="22"/>
        </w:rPr>
        <w:t xml:space="preserve">[5] Rehman, S., Al-Hadhrami, L.M., &amp; Alam, M.M. (2015). Pumped hydro energy storage system: A technological review. Renewable and Sustainable Energy Reviews, 44, 586-598. DOI: 10.1016/j.rser.2015.01.009</w:t>
      </w:r>
    </w:p>
    <w:p>
      <w:pPr>
        <w:spacing w:after="120" w:before="120" w:line="276"/>
        <w:jc w:val="left"/>
      </w:pPr>
      <w:r>
        <w:rPr>
          <w:rFonts w:ascii="Georgia" w:cs="Georgia" w:eastAsia="Georgia" w:hAnsi="Georgia"/>
          <w:color w:val="000000"/>
          <w:sz w:val="22"/>
          <w:szCs w:val="22"/>
        </w:rPr>
        <w:t xml:space="preserve">[6] Milly, P.C.D., Betancourt, J., Falkenmark, M., Hirsch, R.M., Kundzewicz, Z.W., Lettenmaier, D.P., &amp; Stouffer, R.J. (2008). Stationarity is dead: Whither water management? Science, 319(5863), 573-574. DOI: 10.1126/science.1151915</w:t>
      </w:r>
    </w:p>
    <w:p>
      <w:pPr>
        <w:spacing w:after="120" w:before="120" w:line="276"/>
        <w:jc w:val="left"/>
      </w:pPr>
      <w:r>
        <w:rPr>
          <w:rFonts w:ascii="Georgia" w:cs="Georgia" w:eastAsia="Georgia" w:hAnsi="Georgia"/>
          <w:color w:val="000000"/>
          <w:sz w:val="22"/>
          <w:szCs w:val="22"/>
        </w:rPr>
        <w:t xml:space="preserve">[7] Bergant, A., Simpson, A.R., &amp; Tijsseling, A.S. (2006). Water hammer with column separation: A historical review. Journal of Fluids and Structures, 22(2), 135-171. DOI: 10.1016/j.jfluidstructs.2005.08.010</w:t>
      </w:r>
    </w:p>
    <w:p>
      <w:pPr>
        <w:spacing w:after="120" w:before="120" w:line="276"/>
        <w:jc w:val="left"/>
      </w:pPr>
      <w:r>
        <w:rPr>
          <w:rFonts w:ascii="Georgia" w:cs="Georgia" w:eastAsia="Georgia" w:hAnsi="Georgia"/>
          <w:color w:val="000000"/>
          <w:sz w:val="22"/>
          <w:szCs w:val="22"/>
        </w:rPr>
        <w:t xml:space="preserve">[8] Carter, J.E. (2026). Geological Pathway Diversity Model (GPDM). EarthArXiv Preprint. DOI: 10.31223/X5J47D</w:t>
      </w:r>
    </w:p>
    <w:p>
      <w:pPr>
        <w:spacing w:after="120" w:before="120" w:line="276"/>
        <w:jc w:val="left"/>
      </w:pPr>
      <w:r>
        <w:rPr>
          <w:rFonts w:ascii="Georgia" w:cs="Georgia" w:eastAsia="Georgia" w:hAnsi="Georgia"/>
          <w:color w:val="000000"/>
          <w:sz w:val="22"/>
          <w:szCs w:val="22"/>
        </w:rPr>
        <w:t xml:space="preserve">[9] Carter, J.E. (2026). EM Sentinel Field Instrumentation. Zenodo Preprint. DOI: 10.5281/zenodo.19870281</w:t>
      </w:r>
    </w:p>
    <w:p>
      <w:pPr>
        <w:spacing w:after="120" w:before="120" w:line="276"/>
        <w:jc w:val="left"/>
      </w:pPr>
      <w:r>
        <w:rPr>
          <w:rFonts w:ascii="Georgia" w:cs="Georgia" w:eastAsia="Georgia" w:hAnsi="Georgia"/>
          <w:color w:val="000000"/>
          <w:sz w:val="22"/>
          <w:szCs w:val="22"/>
        </w:rPr>
        <w:t xml:space="preserve">[10] Tao, W., Masterlark, T., Shen, Z.K., &amp; Ronchin, E. (2015). Impoundment of the Zipingpu reservoir and triggering of the 2008 Mw 7.9 Wenchuan earthquake, China. Journal of Geophysical Research: Solid Earth. DOI: 10.1002/2014JB011766</w:t>
      </w:r>
    </w:p>
    <w:p>
      <w:pPr>
        <w:spacing w:after="120" w:before="120" w:line="276"/>
        <w:jc w:val="left"/>
      </w:pPr>
      <w:r>
        <w:rPr>
          <w:rFonts w:ascii="Georgia" w:cs="Georgia" w:eastAsia="Georgia" w:hAnsi="Georgia"/>
          <w:color w:val="000000"/>
          <w:sz w:val="22"/>
          <w:szCs w:val="22"/>
        </w:rPr>
        <w:t xml:space="preserve">[11] IAEA (2024). Advances in Small Modular Reactor Technology Developments. IAEA-TECDOC-2040.</w:t>
      </w:r>
    </w:p>
    <w:p>
      <w:pPr>
        <w:spacing w:after="120" w:before="120" w:line="276"/>
        <w:jc w:val="left"/>
      </w:pPr>
      <w:r>
        <w:rPr>
          <w:rFonts w:ascii="Georgia" w:cs="Georgia" w:eastAsia="Georgia" w:hAnsi="Georgia"/>
          <w:color w:val="000000"/>
          <w:sz w:val="22"/>
          <w:szCs w:val="22"/>
        </w:rPr>
        <w:t xml:space="preserve">[12] SOM / Energy Vault (2024). Building-Integrated Energy Storage: EVc and EVu Concept Papers. Energy Vault Inc., Westlake Village CA.</w:t>
      </w:r>
    </w:p>
    <w:p>
      <w:pPr>
        <w:pBdr>
          <w:bottom w:val="single" w:color="CCCCCC" w:sz="6" w:space="1"/>
        </w:pBdr>
        <w:spacing w:after="60" w:before="60"/>
      </w:pPr>
      <w:r>
        <w:t xml:space="preserve"/>
      </w:r>
    </w:p>
    <w:p>
      <w:pPr>
        <w:spacing w:after="60" w:before="60"/>
      </w:pPr>
      <w:r>
        <w:t xml:space="preserve"/>
      </w:r>
    </w:p>
    <w:p>
      <w:pPr>
        <w:spacing w:after="60" w:before="60"/>
      </w:pPr>
      <w:r>
        <w:t xml:space="preserve"/>
      </w:r>
    </w:p>
    <w:p>
      <w:r>
        <w:br w:type="page"/>
      </w:r>
    </w:p>
    <w:p>
      <w:pPr>
        <w:spacing w:after="60" w:before="240"/>
        <w:jc w:val="center"/>
      </w:pPr>
      <w:r>
        <w:rPr>
          <w:rFonts w:ascii="Arial" w:cs="Arial" w:eastAsia="Arial" w:hAnsi="Arial"/>
          <w:b/>
          <w:bCs/>
          <w:color w:val="1B3A5C"/>
          <w:sz w:val="32"/>
          <w:szCs w:val="32"/>
        </w:rPr>
        <w:t xml:space="preserve">ZENODO SUBMISSION PACKAGE</w:t>
      </w:r>
    </w:p>
    <w:p>
      <w:pPr>
        <w:spacing w:after="240" w:before="0"/>
        <w:jc w:val="center"/>
      </w:pPr>
      <w:r>
        <w:rPr>
          <w:rFonts w:ascii="Arial" w:cs="Arial" w:eastAsia="Arial" w:hAnsi="Arial"/>
          <w:i/>
          <w:iCs/>
          <w:color w:val="555555"/>
          <w:sz w:val="22"/>
          <w:szCs w:val="22"/>
        </w:rPr>
        <w:t xml:space="preserve">Complete guide for uploading this preprint to Zenodo</w:t>
      </w:r>
    </w:p>
    <w:p>
      <w:pPr>
        <w:pBdr>
          <w:bottom w:val="single" w:color="2E7D9E" w:sz="6" w:space="1"/>
        </w:pBdr>
        <w:spacing w:after="60" w:before="60"/>
      </w:pPr>
      <w:r>
        <w:t xml:space="preserve"/>
      </w:r>
    </w:p>
    <w:p>
      <w:pPr>
        <w:spacing w:after="60" w:before="60"/>
      </w:pPr>
      <w:r>
        <w:t xml:space="preserve"/>
      </w:r>
    </w:p>
    <w:p>
      <w:pPr>
        <w:pStyle w:val="Heading1"/>
        <w:spacing w:after="180" w:before="360"/>
      </w:pPr>
      <w:r>
        <w:rPr>
          <w:rFonts w:ascii="Arial" w:cs="Arial" w:eastAsia="Arial" w:hAnsi="Arial"/>
          <w:b/>
          <w:bCs/>
          <w:color w:val="1B3A5C"/>
          <w:sz w:val="28"/>
          <w:szCs w:val="28"/>
        </w:rPr>
        <w:t xml:space="preserve">Zenodo Submission Metadata</w:t>
      </w:r>
    </w:p>
    <w:p>
      <w:pPr>
        <w:spacing w:after="120" w:before="120" w:line="276"/>
        <w:jc w:val="left"/>
      </w:pPr>
      <w:r>
        <w:rPr>
          <w:rFonts w:ascii="Georgia" w:cs="Georgia" w:eastAsia="Georgia" w:hAnsi="Georgia"/>
          <w:color w:val="000000"/>
          <w:sz w:val="22"/>
          <w:szCs w:val="22"/>
        </w:rPr>
        <w:t xml:space="preserve">Copy the following metadata exactly when creating your Zenodo upload record. Every field is required for the preprint to be discoverable and citable.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D9E" w:sz="1"/>
              <w:left w:val="single" w:color="2E7D9E" w:sz="1"/>
              <w:bottom w:val="single" w:color="2E7D9E" w:sz="1"/>
              <w:right w:val="single" w:color="2E7D9E" w:sz="1"/>
            </w:tcBorders>
            <w:shd w:fill="EAF3F8" w:val="clear"/>
            <w:tcMar>
              <w:top w:type="dxa" w:w="80"/>
              <w:left w:type="dxa" w:w="120"/>
              <w:bottom w:type="dxa" w:w="80"/>
              <w:right w:type="dxa" w:w="120"/>
            </w:tcMar>
          </w:tcPr>
          <w:p>
            <w:r>
              <w:rPr>
                <w:rFonts w:ascii="Arial" w:cs="Arial" w:eastAsia="Arial" w:hAnsi="Arial"/>
                <w:b/>
                <w:bCs/>
                <w:color w:val="1B3A5C"/>
                <w:sz w:val="20"/>
                <w:szCs w:val="20"/>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The Vertical Arcology Hydraulic Spine (VAHS): A Theoretical Energy Architecture for Closed-Loop Megastructure Integration</w:t>
            </w:r>
          </w:p>
        </w:tc>
      </w:tr>
      <w:tr>
        <w:tc>
          <w:tcPr>
            <w:tcW w:type="dxa" w:w="2200"/>
            <w:tcBorders>
              <w:top w:val="single" w:color="2E7D9E" w:sz="1"/>
              <w:left w:val="single" w:color="2E7D9E" w:sz="1"/>
              <w:bottom w:val="single" w:color="2E7D9E" w:sz="1"/>
              <w:right w:val="single" w:color="2E7D9E" w:sz="1"/>
            </w:tcBorders>
            <w:shd w:fill="EAF3F8" w:val="clear"/>
            <w:tcMar>
              <w:top w:type="dxa" w:w="80"/>
              <w:left w:type="dxa" w:w="120"/>
              <w:bottom w:type="dxa" w:w="80"/>
              <w:right w:type="dxa" w:w="120"/>
            </w:tcMar>
          </w:tcPr>
          <w:p>
            <w:r>
              <w:rPr>
                <w:rFonts w:ascii="Arial" w:cs="Arial" w:eastAsia="Arial" w:hAnsi="Arial"/>
                <w:b/>
                <w:bCs/>
                <w:color w:val="1B3A5C"/>
                <w:sz w:val="20"/>
                <w:szCs w:val="20"/>
              </w:rPr>
              <w:t xml:space="preserve">Author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John Ernest Carter</w:t>
            </w:r>
          </w:p>
        </w:tc>
      </w:tr>
      <w:tr>
        <w:tc>
          <w:tcPr>
            <w:tcW w:type="dxa" w:w="2200"/>
            <w:tcBorders>
              <w:top w:val="single" w:color="2E7D9E" w:sz="1"/>
              <w:left w:val="single" w:color="2E7D9E" w:sz="1"/>
              <w:bottom w:val="single" w:color="2E7D9E" w:sz="1"/>
              <w:right w:val="single" w:color="2E7D9E" w:sz="1"/>
            </w:tcBorders>
            <w:shd w:fill="EAF3F8" w:val="clear"/>
            <w:tcMar>
              <w:top w:type="dxa" w:w="80"/>
              <w:left w:type="dxa" w:w="120"/>
              <w:bottom w:type="dxa" w:w="80"/>
              <w:right w:type="dxa" w:w="120"/>
            </w:tcMar>
          </w:tcPr>
          <w:p>
            <w:r>
              <w:rPr>
                <w:rFonts w:ascii="Arial" w:cs="Arial" w:eastAsia="Arial" w:hAnsi="Arial"/>
                <w:b/>
                <w:bCs/>
                <w:color w:val="1B3A5C"/>
                <w:sz w:val="20"/>
                <w:szCs w:val="20"/>
              </w:rPr>
              <w:t xml:space="preserve">ORCID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0009-0004-1363-304X</w:t>
            </w:r>
          </w:p>
        </w:tc>
      </w:tr>
      <w:tr>
        <w:tc>
          <w:tcPr>
            <w:tcW w:type="dxa" w:w="2200"/>
            <w:tcBorders>
              <w:top w:val="single" w:color="2E7D9E" w:sz="1"/>
              <w:left w:val="single" w:color="2E7D9E" w:sz="1"/>
              <w:bottom w:val="single" w:color="2E7D9E" w:sz="1"/>
              <w:right w:val="single" w:color="2E7D9E" w:sz="1"/>
            </w:tcBorders>
            <w:shd w:fill="EAF3F8" w:val="clear"/>
            <w:tcMar>
              <w:top w:type="dxa" w:w="80"/>
              <w:left w:type="dxa" w:w="120"/>
              <w:bottom w:type="dxa" w:w="80"/>
              <w:right w:type="dxa" w:w="120"/>
            </w:tcMar>
          </w:tcPr>
          <w:p>
            <w:r>
              <w:rPr>
                <w:rFonts w:ascii="Arial" w:cs="Arial" w:eastAsia="Arial" w:hAnsi="Arial"/>
                <w:b/>
                <w:bCs/>
                <w:color w:val="1B3A5C"/>
                <w:sz w:val="20"/>
                <w:szCs w:val="20"/>
              </w:rPr>
              <w:t xml:space="preserve">Affiliation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Presignal Inc., Niagara Region, Ontario, Canada</w:t>
            </w:r>
          </w:p>
        </w:tc>
      </w:tr>
      <w:tr>
        <w:tc>
          <w:tcPr>
            <w:tcW w:type="dxa" w:w="2200"/>
            <w:tcBorders>
              <w:top w:val="single" w:color="2E7D9E" w:sz="1"/>
              <w:left w:val="single" w:color="2E7D9E" w:sz="1"/>
              <w:bottom w:val="single" w:color="2E7D9E" w:sz="1"/>
              <w:right w:val="single" w:color="2E7D9E" w:sz="1"/>
            </w:tcBorders>
            <w:shd w:fill="EAF3F8" w:val="clear"/>
            <w:tcMar>
              <w:top w:type="dxa" w:w="80"/>
              <w:left w:type="dxa" w:w="120"/>
              <w:bottom w:type="dxa" w:w="80"/>
              <w:right w:type="dxa" w:w="120"/>
            </w:tcMar>
          </w:tcPr>
          <w:p>
            <w:r>
              <w:rPr>
                <w:rFonts w:ascii="Arial" w:cs="Arial" w:eastAsia="Arial" w:hAnsi="Arial"/>
                <w:b/>
                <w:bCs/>
                <w:color w:val="1B3A5C"/>
                <w:sz w:val="20"/>
                <w:szCs w:val="20"/>
              </w:rPr>
              <w:t xml:space="preserve">Contact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jubecrew@gmail.com</w:t>
            </w:r>
          </w:p>
        </w:tc>
      </w:tr>
      <w:tr>
        <w:tc>
          <w:tcPr>
            <w:tcW w:type="dxa" w:w="2200"/>
            <w:tcBorders>
              <w:top w:val="single" w:color="2E7D9E" w:sz="1"/>
              <w:left w:val="single" w:color="2E7D9E" w:sz="1"/>
              <w:bottom w:val="single" w:color="2E7D9E" w:sz="1"/>
              <w:right w:val="single" w:color="2E7D9E" w:sz="1"/>
            </w:tcBorders>
            <w:shd w:fill="EAF3F8" w:val="clear"/>
            <w:tcMar>
              <w:top w:type="dxa" w:w="80"/>
              <w:left w:type="dxa" w:w="120"/>
              <w:bottom w:type="dxa" w:w="80"/>
              <w:right w:type="dxa" w:w="120"/>
            </w:tcMar>
          </w:tcPr>
          <w:p>
            <w:r>
              <w:rPr>
                <w:rFonts w:ascii="Arial" w:cs="Arial" w:eastAsia="Arial" w:hAnsi="Arial"/>
                <w:b/>
                <w:bCs/>
                <w:color w:val="1B3A5C"/>
                <w:sz w:val="20"/>
                <w:szCs w:val="20"/>
              </w:rPr>
              <w:t xml:space="preserve">Resource Type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Preprint — Theoretical Engineering</w:t>
            </w:r>
          </w:p>
        </w:tc>
      </w:tr>
      <w:tr>
        <w:tc>
          <w:tcPr>
            <w:tcW w:type="dxa" w:w="2200"/>
            <w:tcBorders>
              <w:top w:val="single" w:color="2E7D9E" w:sz="1"/>
              <w:left w:val="single" w:color="2E7D9E" w:sz="1"/>
              <w:bottom w:val="single" w:color="2E7D9E" w:sz="1"/>
              <w:right w:val="single" w:color="2E7D9E" w:sz="1"/>
            </w:tcBorders>
            <w:shd w:fill="EAF3F8" w:val="clear"/>
            <w:tcMar>
              <w:top w:type="dxa" w:w="80"/>
              <w:left w:type="dxa" w:w="120"/>
              <w:bottom w:type="dxa" w:w="80"/>
              <w:right w:type="dxa" w:w="120"/>
            </w:tcMar>
          </w:tcPr>
          <w:p>
            <w:r>
              <w:rPr>
                <w:rFonts w:ascii="Arial" w:cs="Arial" w:eastAsia="Arial" w:hAnsi="Arial"/>
                <w:b/>
                <w:bCs/>
                <w:color w:val="1B3A5C"/>
                <w:sz w:val="20"/>
                <w:szCs w:val="20"/>
              </w:rPr>
              <w:t xml:space="preserve">Upload Type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Publication &gt; Preprint</w:t>
            </w:r>
          </w:p>
        </w:tc>
      </w:tr>
      <w:tr>
        <w:tc>
          <w:tcPr>
            <w:tcW w:type="dxa" w:w="2200"/>
            <w:tcBorders>
              <w:top w:val="single" w:color="2E7D9E" w:sz="1"/>
              <w:left w:val="single" w:color="2E7D9E" w:sz="1"/>
              <w:bottom w:val="single" w:color="2E7D9E" w:sz="1"/>
              <w:right w:val="single" w:color="2E7D9E" w:sz="1"/>
            </w:tcBorders>
            <w:shd w:fill="EAF3F8" w:val="clear"/>
            <w:tcMar>
              <w:top w:type="dxa" w:w="80"/>
              <w:left w:type="dxa" w:w="120"/>
              <w:bottom w:type="dxa" w:w="80"/>
              <w:right w:type="dxa" w:w="120"/>
            </w:tcMar>
          </w:tcPr>
          <w:p>
            <w:r>
              <w:rPr>
                <w:rFonts w:ascii="Arial" w:cs="Arial" w:eastAsia="Arial" w:hAnsi="Arial"/>
                <w:b/>
                <w:bCs/>
                <w:color w:val="1B3A5C"/>
                <w:sz w:val="20"/>
                <w:szCs w:val="20"/>
              </w:rPr>
              <w:t xml:space="preserve">Keywords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vertical megastructure; hydraulic energy; pumped storage; atmospheric water harvesting; gravity turbine; arcology; energy architecture; Pelton turbine; closed-loop systems; Resonance City</w:t>
            </w:r>
          </w:p>
        </w:tc>
      </w:tr>
      <w:tr>
        <w:tc>
          <w:tcPr>
            <w:tcW w:type="dxa" w:w="2200"/>
            <w:tcBorders>
              <w:top w:val="single" w:color="2E7D9E" w:sz="1"/>
              <w:left w:val="single" w:color="2E7D9E" w:sz="1"/>
              <w:bottom w:val="single" w:color="2E7D9E" w:sz="1"/>
              <w:right w:val="single" w:color="2E7D9E" w:sz="1"/>
            </w:tcBorders>
            <w:shd w:fill="EAF3F8" w:val="clear"/>
            <w:tcMar>
              <w:top w:type="dxa" w:w="80"/>
              <w:left w:type="dxa" w:w="120"/>
              <w:bottom w:type="dxa" w:w="80"/>
              <w:right w:type="dxa" w:w="120"/>
            </w:tcMar>
          </w:tcPr>
          <w:p>
            <w:r>
              <w:rPr>
                <w:rFonts w:ascii="Arial" w:cs="Arial" w:eastAsia="Arial" w:hAnsi="Arial"/>
                <w:b/>
                <w:bCs/>
                <w:color w:val="1B3A5C"/>
                <w:sz w:val="20"/>
                <w:szCs w:val="20"/>
              </w:rPr>
              <w:t xml:space="preserve">License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Creative Commons Attribution 4.0 International (CC BY 4.0)</w:t>
            </w:r>
          </w:p>
        </w:tc>
      </w:tr>
      <w:tr>
        <w:tc>
          <w:tcPr>
            <w:tcW w:type="dxa" w:w="2200"/>
            <w:tcBorders>
              <w:top w:val="single" w:color="2E7D9E" w:sz="1"/>
              <w:left w:val="single" w:color="2E7D9E" w:sz="1"/>
              <w:bottom w:val="single" w:color="2E7D9E" w:sz="1"/>
              <w:right w:val="single" w:color="2E7D9E" w:sz="1"/>
            </w:tcBorders>
            <w:shd w:fill="EAF3F8" w:val="clear"/>
            <w:tcMar>
              <w:top w:type="dxa" w:w="80"/>
              <w:left w:type="dxa" w:w="120"/>
              <w:bottom w:type="dxa" w:w="80"/>
              <w:right w:type="dxa" w:w="120"/>
            </w:tcMar>
          </w:tcPr>
          <w:p>
            <w:r>
              <w:rPr>
                <w:rFonts w:ascii="Arial" w:cs="Arial" w:eastAsia="Arial" w:hAnsi="Arial"/>
                <w:b/>
                <w:bCs/>
                <w:color w:val="1B3A5C"/>
                <w:sz w:val="20"/>
                <w:szCs w:val="20"/>
              </w:rPr>
              <w:t xml:space="preserve">Language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English</w:t>
            </w:r>
          </w:p>
        </w:tc>
      </w:tr>
      <w:tr>
        <w:tc>
          <w:tcPr>
            <w:tcW w:type="dxa" w:w="2200"/>
            <w:tcBorders>
              <w:top w:val="single" w:color="2E7D9E" w:sz="1"/>
              <w:left w:val="single" w:color="2E7D9E" w:sz="1"/>
              <w:bottom w:val="single" w:color="2E7D9E" w:sz="1"/>
              <w:right w:val="single" w:color="2E7D9E" w:sz="1"/>
            </w:tcBorders>
            <w:shd w:fill="EAF3F8" w:val="clear"/>
            <w:tcMar>
              <w:top w:type="dxa" w:w="80"/>
              <w:left w:type="dxa" w:w="120"/>
              <w:bottom w:type="dxa" w:w="80"/>
              <w:right w:type="dxa" w:w="120"/>
            </w:tcMar>
          </w:tcPr>
          <w:p>
            <w:r>
              <w:rPr>
                <w:rFonts w:ascii="Arial" w:cs="Arial" w:eastAsia="Arial" w:hAnsi="Arial"/>
                <w:b/>
                <w:bCs/>
                <w:color w:val="1B3A5C"/>
                <w:sz w:val="20"/>
                <w:szCs w:val="20"/>
              </w:rPr>
              <w:t xml:space="preserve">Related Identifiers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DOI 10.31223/X5J47D (GPDM, EarthArXiv); DOI 10.5281/zenodo.19870281 (EM Sentinel); DOI 10.5281/zenodo.19870137 (Field Node v2.0)</w:t>
            </w:r>
          </w:p>
        </w:tc>
      </w:tr>
      <w:tr>
        <w:tc>
          <w:tcPr>
            <w:tcW w:type="dxa" w:w="2200"/>
            <w:tcBorders>
              <w:top w:val="single" w:color="2E7D9E" w:sz="1"/>
              <w:left w:val="single" w:color="2E7D9E" w:sz="1"/>
              <w:bottom w:val="single" w:color="2E7D9E" w:sz="1"/>
              <w:right w:val="single" w:color="2E7D9E" w:sz="1"/>
            </w:tcBorders>
            <w:shd w:fill="EAF3F8" w:val="clear"/>
            <w:tcMar>
              <w:top w:type="dxa" w:w="80"/>
              <w:left w:type="dxa" w:w="120"/>
              <w:bottom w:type="dxa" w:w="80"/>
              <w:right w:type="dxa" w:w="120"/>
            </w:tcMar>
          </w:tcPr>
          <w:p>
            <w:r>
              <w:rPr>
                <w:rFonts w:ascii="Arial" w:cs="Arial" w:eastAsia="Arial" w:hAnsi="Arial"/>
                <w:b/>
                <w:bCs/>
                <w:color w:val="1B3A5C"/>
                <w:sz w:val="20"/>
                <w:szCs w:val="20"/>
              </w:rPr>
              <w:t xml:space="preserve">Communities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zenodo (open access); earth-sciences; energy-research</w:t>
            </w:r>
          </w:p>
        </w:tc>
      </w:tr>
      <w:tr>
        <w:tc>
          <w:tcPr>
            <w:tcW w:type="dxa" w:w="2200"/>
            <w:tcBorders>
              <w:top w:val="single" w:color="2E7D9E" w:sz="1"/>
              <w:left w:val="single" w:color="2E7D9E" w:sz="1"/>
              <w:bottom w:val="single" w:color="2E7D9E" w:sz="1"/>
              <w:right w:val="single" w:color="2E7D9E" w:sz="1"/>
            </w:tcBorders>
            <w:shd w:fill="EAF3F8" w:val="clear"/>
            <w:tcMar>
              <w:top w:type="dxa" w:w="80"/>
              <w:left w:type="dxa" w:w="120"/>
              <w:bottom w:type="dxa" w:w="80"/>
              <w:right w:type="dxa" w:w="120"/>
            </w:tcMar>
          </w:tcPr>
          <w:p>
            <w:r>
              <w:rPr>
                <w:rFonts w:ascii="Arial" w:cs="Arial" w:eastAsia="Arial" w:hAnsi="Arial"/>
                <w:b/>
                <w:bCs/>
                <w:color w:val="1B3A5C"/>
                <w:sz w:val="20"/>
                <w:szCs w:val="20"/>
              </w:rPr>
              <w:t xml:space="preserve">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1.0.0</w:t>
            </w:r>
          </w:p>
        </w:tc>
      </w:tr>
      <w:tr>
        <w:tc>
          <w:tcPr>
            <w:tcW w:type="dxa" w:w="2200"/>
            <w:tcBorders>
              <w:top w:val="single" w:color="2E7D9E" w:sz="1"/>
              <w:left w:val="single" w:color="2E7D9E" w:sz="1"/>
              <w:bottom w:val="single" w:color="2E7D9E" w:sz="1"/>
              <w:right w:val="single" w:color="2E7D9E" w:sz="1"/>
            </w:tcBorders>
            <w:shd w:fill="EAF3F8" w:val="clear"/>
            <w:tcMar>
              <w:top w:type="dxa" w:w="80"/>
              <w:left w:type="dxa" w:w="120"/>
              <w:bottom w:type="dxa" w:w="80"/>
              <w:right w:type="dxa" w:w="120"/>
            </w:tcMar>
          </w:tcPr>
          <w:p>
            <w:r>
              <w:rPr>
                <w:rFonts w:ascii="Arial" w:cs="Arial" w:eastAsia="Arial" w:hAnsi="Arial"/>
                <w:b/>
                <w:bCs/>
                <w:color w:val="1B3A5C"/>
                <w:sz w:val="20"/>
                <w:szCs w:val="20"/>
              </w:rPr>
              <w:t xml:space="preserve">Access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Open Access</w:t>
            </w:r>
          </w:p>
        </w:tc>
      </w:tr>
    </w:tbl>
    <w:p>
      <w:pPr>
        <w:spacing w:after="60" w:before="60"/>
      </w:pPr>
      <w:r>
        <w:t xml:space="preserve"/>
      </w:r>
    </w:p>
    <w:p>
      <w:pPr>
        <w:pStyle w:val="Heading1"/>
        <w:spacing w:after="180" w:before="360"/>
      </w:pPr>
      <w:r>
        <w:rPr>
          <w:rFonts w:ascii="Arial" w:cs="Arial" w:eastAsia="Arial" w:hAnsi="Arial"/>
          <w:b/>
          <w:bCs/>
          <w:color w:val="1B3A5C"/>
          <w:sz w:val="28"/>
          <w:szCs w:val="28"/>
        </w:rPr>
        <w:t xml:space="preserve">Step-by-Step Submission Instructions</w:t>
      </w:r>
    </w:p>
    <w:p>
      <w:pPr>
        <w:pStyle w:val="Heading2"/>
        <w:spacing w:after="120" w:before="240"/>
      </w:pPr>
      <w:r>
        <w:rPr>
          <w:rFonts w:ascii="Arial" w:cs="Arial" w:eastAsia="Arial" w:hAnsi="Arial"/>
          <w:b/>
          <w:bCs/>
          <w:color w:val="2E7D9E"/>
          <w:sz w:val="24"/>
          <w:szCs w:val="24"/>
        </w:rPr>
        <w:t xml:space="preserve">Step 1 — Create a Zenodo Account</w:t>
      </w:r>
    </w:p>
    <w:p>
      <w:pPr>
        <w:spacing w:after="120" w:before="120" w:line="276"/>
        <w:jc w:val="left"/>
      </w:pPr>
      <w:r>
        <w:rPr>
          <w:rFonts w:ascii="Georgia" w:cs="Georgia" w:eastAsia="Georgia" w:hAnsi="Georgia"/>
          <w:color w:val="000000"/>
          <w:sz w:val="22"/>
          <w:szCs w:val="22"/>
        </w:rPr>
        <w:t xml:space="preserve">Go to https://zenodo.org and click Sign Up. You can sign in with your GitHub, ORCID, or institutional account. Using your ORCID (0009-0004-1363-304X) to sign in links your account to your researcher profile automatically.</w:t>
      </w:r>
    </w:p>
    <w:p>
      <w:pPr>
        <w:pStyle w:val="Heading2"/>
        <w:spacing w:after="120" w:before="240"/>
      </w:pPr>
      <w:r>
        <w:rPr>
          <w:rFonts w:ascii="Arial" w:cs="Arial" w:eastAsia="Arial" w:hAnsi="Arial"/>
          <w:b/>
          <w:bCs/>
          <w:color w:val="2E7D9E"/>
          <w:sz w:val="24"/>
          <w:szCs w:val="24"/>
        </w:rPr>
        <w:t xml:space="preserve">Step 2 — Start a New Upload</w:t>
      </w:r>
    </w:p>
    <w:p>
      <w:pPr>
        <w:spacing w:after="120" w:before="120" w:line="276"/>
        <w:jc w:val="left"/>
      </w:pPr>
      <w:r>
        <w:rPr>
          <w:rFonts w:ascii="Georgia" w:cs="Georgia" w:eastAsia="Georgia" w:hAnsi="Georgia"/>
          <w:color w:val="000000"/>
          <w:sz w:val="22"/>
          <w:szCs w:val="22"/>
        </w:rPr>
        <w:t xml:space="preserve">Once logged in, click the green + New Upload button in the top right corner. This opens the upload form.</w:t>
      </w:r>
    </w:p>
    <w:p>
      <w:pPr>
        <w:pStyle w:val="Heading2"/>
        <w:spacing w:after="120" w:before="240"/>
      </w:pPr>
      <w:r>
        <w:rPr>
          <w:rFonts w:ascii="Arial" w:cs="Arial" w:eastAsia="Arial" w:hAnsi="Arial"/>
          <w:b/>
          <w:bCs/>
          <w:color w:val="2E7D9E"/>
          <w:sz w:val="24"/>
          <w:szCs w:val="24"/>
        </w:rPr>
        <w:t xml:space="preserve">Step 3 — Upload the File</w:t>
      </w:r>
    </w:p>
    <w:p>
      <w:pPr>
        <w:pStyle w:val="ListParagraph"/>
        <w:numPr>
          <w:ilvl w:val="0"/>
          <w:numId w:val="2"/>
        </w:numPr>
        <w:spacing w:after="60" w:before="60"/>
      </w:pPr>
      <w:r>
        <w:rPr>
          <w:rFonts w:ascii="Georgia" w:cs="Georgia" w:eastAsia="Georgia" w:hAnsi="Georgia"/>
          <w:sz w:val="22"/>
          <w:szCs w:val="22"/>
        </w:rPr>
        <w:t xml:space="preserve">Click Choose Files or drag and drop this document into the upload area.</w:t>
      </w:r>
    </w:p>
    <w:p>
      <w:pPr>
        <w:pStyle w:val="ListParagraph"/>
        <w:numPr>
          <w:ilvl w:val="0"/>
          <w:numId w:val="2"/>
        </w:numPr>
        <w:spacing w:after="60" w:before="60"/>
      </w:pPr>
      <w:r>
        <w:rPr>
          <w:rFonts w:ascii="Georgia" w:cs="Georgia" w:eastAsia="Georgia" w:hAnsi="Georgia"/>
          <w:sz w:val="22"/>
          <w:szCs w:val="22"/>
        </w:rPr>
        <w:t xml:space="preserve">The file name should be: VAHS_Preprint_Carter_Presignal_2026.docx</w:t>
      </w:r>
    </w:p>
    <w:p>
      <w:pPr>
        <w:pStyle w:val="ListParagraph"/>
        <w:numPr>
          <w:ilvl w:val="0"/>
          <w:numId w:val="2"/>
        </w:numPr>
        <w:spacing w:after="60" w:before="60"/>
      </w:pPr>
      <w:r>
        <w:rPr>
          <w:rFonts w:ascii="Georgia" w:cs="Georgia" w:eastAsia="Georgia" w:hAnsi="Georgia"/>
          <w:sz w:val="22"/>
          <w:szCs w:val="22"/>
        </w:rPr>
        <w:t xml:space="preserve">Zenodo also accepts PDF. If you have a PDF version, upload both — the PDF for readability and the DOCX for accessibility.</w:t>
      </w:r>
    </w:p>
    <w:p>
      <w:pPr>
        <w:pStyle w:val="Heading2"/>
        <w:spacing w:after="120" w:before="240"/>
      </w:pPr>
      <w:r>
        <w:rPr>
          <w:rFonts w:ascii="Arial" w:cs="Arial" w:eastAsia="Arial" w:hAnsi="Arial"/>
          <w:b/>
          <w:bCs/>
          <w:color w:val="2E7D9E"/>
          <w:sz w:val="24"/>
          <w:szCs w:val="24"/>
        </w:rPr>
        <w:t xml:space="preserve">Step 4 — Set the Resource Type</w:t>
      </w:r>
    </w:p>
    <w:p>
      <w:pPr>
        <w:pStyle w:val="ListParagraph"/>
        <w:numPr>
          <w:ilvl w:val="0"/>
          <w:numId w:val="2"/>
        </w:numPr>
        <w:spacing w:after="60" w:before="60"/>
      </w:pPr>
      <w:r>
        <w:rPr>
          <w:rFonts w:ascii="Georgia" w:cs="Georgia" w:eastAsia="Georgia" w:hAnsi="Georgia"/>
          <w:sz w:val="22"/>
          <w:szCs w:val="22"/>
        </w:rPr>
        <w:t xml:space="preserve">Upload type: Publication</w:t>
      </w:r>
    </w:p>
    <w:p>
      <w:pPr>
        <w:pStyle w:val="ListParagraph"/>
        <w:numPr>
          <w:ilvl w:val="0"/>
          <w:numId w:val="2"/>
        </w:numPr>
        <w:spacing w:after="60" w:before="60"/>
      </w:pPr>
      <w:r>
        <w:rPr>
          <w:rFonts w:ascii="Georgia" w:cs="Georgia" w:eastAsia="Georgia" w:hAnsi="Georgia"/>
          <w:sz w:val="22"/>
          <w:szCs w:val="22"/>
        </w:rPr>
        <w:t xml:space="preserve">Publication type: Preprint</w:t>
      </w:r>
    </w:p>
    <w:p>
      <w:pPr>
        <w:pStyle w:val="ListParagraph"/>
        <w:numPr>
          <w:ilvl w:val="0"/>
          <w:numId w:val="2"/>
        </w:numPr>
        <w:spacing w:after="60" w:before="60"/>
      </w:pPr>
      <w:r>
        <w:rPr>
          <w:rFonts w:ascii="Georgia" w:cs="Georgia" w:eastAsia="Georgia" w:hAnsi="Georgia"/>
          <w:sz w:val="22"/>
          <w:szCs w:val="22"/>
        </w:rPr>
        <w:t xml:space="preserve">This is critical — it must be Preprint not Journal article.</w:t>
      </w:r>
    </w:p>
    <w:p>
      <w:pPr>
        <w:pStyle w:val="Heading2"/>
        <w:spacing w:after="120" w:before="240"/>
      </w:pPr>
      <w:r>
        <w:rPr>
          <w:rFonts w:ascii="Arial" w:cs="Arial" w:eastAsia="Arial" w:hAnsi="Arial"/>
          <w:b/>
          <w:bCs/>
          <w:color w:val="2E7D9E"/>
          <w:sz w:val="24"/>
          <w:szCs w:val="24"/>
        </w:rPr>
        <w:t xml:space="preserve">Step 5 — Enter the Basic Information</w:t>
      </w:r>
    </w:p>
    <w:p>
      <w:pPr>
        <w:pStyle w:val="ListParagraph"/>
        <w:numPr>
          <w:ilvl w:val="0"/>
          <w:numId w:val="2"/>
        </w:numPr>
        <w:spacing w:after="60" w:before="60"/>
      </w:pPr>
      <w:r>
        <w:rPr>
          <w:rFonts w:ascii="Georgia" w:cs="Georgia" w:eastAsia="Georgia" w:hAnsi="Georgia"/>
          <w:sz w:val="22"/>
          <w:szCs w:val="22"/>
        </w:rPr>
        <w:t xml:space="preserve">Title: Copy exactly from the metadata table above.</w:t>
      </w:r>
    </w:p>
    <w:p>
      <w:pPr>
        <w:pStyle w:val="ListParagraph"/>
        <w:numPr>
          <w:ilvl w:val="0"/>
          <w:numId w:val="2"/>
        </w:numPr>
        <w:spacing w:after="60" w:before="60"/>
      </w:pPr>
      <w:r>
        <w:rPr>
          <w:rFonts w:ascii="Georgia" w:cs="Georgia" w:eastAsia="Georgia" w:hAnsi="Georgia"/>
          <w:sz w:val="22"/>
          <w:szCs w:val="22"/>
        </w:rPr>
        <w:t xml:space="preserve">Authors: John Ernest Carter — click Add author, enter name, then add ORCID 0009-0004-1363-304X and affiliation Presignal Inc., Niagara Region, Ontario, Canada.</w:t>
      </w:r>
    </w:p>
    <w:p>
      <w:pPr>
        <w:pStyle w:val="ListParagraph"/>
        <w:numPr>
          <w:ilvl w:val="0"/>
          <w:numId w:val="2"/>
        </w:numPr>
        <w:spacing w:after="60" w:before="60"/>
      </w:pPr>
      <w:r>
        <w:rPr>
          <w:rFonts w:ascii="Georgia" w:cs="Georgia" w:eastAsia="Georgia" w:hAnsi="Georgia"/>
          <w:sz w:val="22"/>
          <w:szCs w:val="22"/>
        </w:rPr>
        <w:t xml:space="preserve">Description: Paste the abstract text from this document.</w:t>
      </w:r>
    </w:p>
    <w:p>
      <w:pPr>
        <w:pStyle w:val="ListParagraph"/>
        <w:numPr>
          <w:ilvl w:val="0"/>
          <w:numId w:val="2"/>
        </w:numPr>
        <w:spacing w:after="60" w:before="60"/>
      </w:pPr>
      <w:r>
        <w:rPr>
          <w:rFonts w:ascii="Georgia" w:cs="Georgia" w:eastAsia="Georgia" w:hAnsi="Georgia"/>
          <w:sz w:val="22"/>
          <w:szCs w:val="22"/>
        </w:rPr>
        <w:t xml:space="preserve">Keywords: Enter each keyword from the metadata table separated by commas.</w:t>
      </w:r>
    </w:p>
    <w:p>
      <w:pPr>
        <w:pStyle w:val="Heading2"/>
        <w:spacing w:after="120" w:before="240"/>
      </w:pPr>
      <w:r>
        <w:rPr>
          <w:rFonts w:ascii="Arial" w:cs="Arial" w:eastAsia="Arial" w:hAnsi="Arial"/>
          <w:b/>
          <w:bCs/>
          <w:color w:val="2E7D9E"/>
          <w:sz w:val="24"/>
          <w:szCs w:val="24"/>
        </w:rPr>
        <w:t xml:space="preserve">Step 6 — Set Access and License</w:t>
      </w:r>
    </w:p>
    <w:p>
      <w:pPr>
        <w:pStyle w:val="ListParagraph"/>
        <w:numPr>
          <w:ilvl w:val="0"/>
          <w:numId w:val="2"/>
        </w:numPr>
        <w:spacing w:after="60" w:before="60"/>
      </w:pPr>
      <w:r>
        <w:rPr>
          <w:rFonts w:ascii="Georgia" w:cs="Georgia" w:eastAsia="Georgia" w:hAnsi="Georgia"/>
          <w:sz w:val="22"/>
          <w:szCs w:val="22"/>
        </w:rPr>
        <w:t xml:space="preserve">Access: Open Access — this is required for maximum discoverability.</w:t>
      </w:r>
    </w:p>
    <w:p>
      <w:pPr>
        <w:pStyle w:val="ListParagraph"/>
        <w:numPr>
          <w:ilvl w:val="0"/>
          <w:numId w:val="2"/>
        </w:numPr>
        <w:spacing w:after="60" w:before="60"/>
      </w:pPr>
      <w:r>
        <w:rPr>
          <w:rFonts w:ascii="Georgia" w:cs="Georgia" w:eastAsia="Georgia" w:hAnsi="Georgia"/>
          <w:sz w:val="22"/>
          <w:szCs w:val="22"/>
        </w:rPr>
        <w:t xml:space="preserve">License: Creative Commons Attribution 4.0 International — this allows others to cite and build on the work with attribution.</w:t>
      </w:r>
    </w:p>
    <w:p>
      <w:pPr>
        <w:pStyle w:val="Heading2"/>
        <w:spacing w:after="120" w:before="240"/>
      </w:pPr>
      <w:r>
        <w:rPr>
          <w:rFonts w:ascii="Arial" w:cs="Arial" w:eastAsia="Arial" w:hAnsi="Arial"/>
          <w:b/>
          <w:bCs/>
          <w:color w:val="2E7D9E"/>
          <w:sz w:val="24"/>
          <w:szCs w:val="24"/>
        </w:rPr>
        <w:t xml:space="preserve">Step 7 — Add Related Identifiers</w:t>
      </w:r>
    </w:p>
    <w:p>
      <w:pPr>
        <w:spacing w:after="120" w:before="120" w:line="276"/>
        <w:jc w:val="left"/>
      </w:pPr>
      <w:r>
        <w:rPr>
          <w:rFonts w:ascii="Georgia" w:cs="Georgia" w:eastAsia="Georgia" w:hAnsi="Georgia"/>
          <w:color w:val="000000"/>
          <w:sz w:val="22"/>
          <w:szCs w:val="22"/>
        </w:rPr>
        <w:t xml:space="preserve">In the Related/alternate identifiers section, add the following to connect this preprint to the broader Presignal portfolio:</w:t>
      </w:r>
    </w:p>
    <w:p>
      <w:pPr>
        <w:pStyle w:val="ListParagraph"/>
        <w:numPr>
          <w:ilvl w:val="0"/>
          <w:numId w:val="2"/>
        </w:numPr>
        <w:spacing w:after="60" w:before="60"/>
      </w:pPr>
      <w:r>
        <w:rPr>
          <w:rFonts w:ascii="Georgia" w:cs="Georgia" w:eastAsia="Georgia" w:hAnsi="Georgia"/>
          <w:sz w:val="22"/>
          <w:szCs w:val="22"/>
        </w:rPr>
        <w:t xml:space="preserve">DOI: 10.31223/X5J47D — Relation: Is supplemented by — This work is cited by</w:t>
      </w:r>
    </w:p>
    <w:p>
      <w:pPr>
        <w:pStyle w:val="ListParagraph"/>
        <w:numPr>
          <w:ilvl w:val="0"/>
          <w:numId w:val="2"/>
        </w:numPr>
        <w:spacing w:after="60" w:before="60"/>
      </w:pPr>
      <w:r>
        <w:rPr>
          <w:rFonts w:ascii="Georgia" w:cs="Georgia" w:eastAsia="Georgia" w:hAnsi="Georgia"/>
          <w:sz w:val="22"/>
          <w:szCs w:val="22"/>
        </w:rPr>
        <w:t xml:space="preserve">DOI: 10.5281/zenodo.19870281 — Relation: Is supplemented by</w:t>
      </w:r>
    </w:p>
    <w:p>
      <w:pPr>
        <w:pStyle w:val="ListParagraph"/>
        <w:numPr>
          <w:ilvl w:val="0"/>
          <w:numId w:val="2"/>
        </w:numPr>
        <w:spacing w:after="60" w:before="60"/>
      </w:pPr>
      <w:r>
        <w:rPr>
          <w:rFonts w:ascii="Georgia" w:cs="Georgia" w:eastAsia="Georgia" w:hAnsi="Georgia"/>
          <w:sz w:val="22"/>
          <w:szCs w:val="22"/>
        </w:rPr>
        <w:t xml:space="preserve">DOI: 10.5281/zenodo.19870137 — Relation: Is supplemented by</w:t>
      </w:r>
    </w:p>
    <w:p>
      <w:pPr>
        <w:pStyle w:val="Heading2"/>
        <w:spacing w:after="120" w:before="240"/>
      </w:pPr>
      <w:r>
        <w:rPr>
          <w:rFonts w:ascii="Arial" w:cs="Arial" w:eastAsia="Arial" w:hAnsi="Arial"/>
          <w:b/>
          <w:bCs/>
          <w:color w:val="2E7D9E"/>
          <w:sz w:val="24"/>
          <w:szCs w:val="24"/>
        </w:rPr>
        <w:t xml:space="preserve">Step 8 — Add to Communities</w:t>
      </w:r>
    </w:p>
    <w:p>
      <w:pPr>
        <w:spacing w:after="120" w:before="120" w:line="276"/>
        <w:jc w:val="left"/>
      </w:pPr>
      <w:r>
        <w:rPr>
          <w:rFonts w:ascii="Georgia" w:cs="Georgia" w:eastAsia="Georgia" w:hAnsi="Georgia"/>
          <w:color w:val="000000"/>
          <w:sz w:val="22"/>
          <w:szCs w:val="22"/>
        </w:rPr>
        <w:t xml:space="preserve">In the Communities field, search for and add: zenodo (the main open access community). You can also search for energy-research and earth-sciences communities. Adding communities increases discovery by researchers in relevant fields.</w:t>
      </w:r>
    </w:p>
    <w:p>
      <w:pPr>
        <w:pStyle w:val="Heading2"/>
        <w:spacing w:after="120" w:before="240"/>
      </w:pPr>
      <w:r>
        <w:rPr>
          <w:rFonts w:ascii="Arial" w:cs="Arial" w:eastAsia="Arial" w:hAnsi="Arial"/>
          <w:b/>
          <w:bCs/>
          <w:color w:val="2E7D9E"/>
          <w:sz w:val="24"/>
          <w:szCs w:val="24"/>
        </w:rPr>
        <w:t xml:space="preserve">Step 9 — Save and Publish</w:t>
      </w:r>
    </w:p>
    <w:p>
      <w:pPr>
        <w:pStyle w:val="ListParagraph"/>
        <w:numPr>
          <w:ilvl w:val="0"/>
          <w:numId w:val="2"/>
        </w:numPr>
        <w:spacing w:after="60" w:before="60"/>
      </w:pPr>
      <w:r>
        <w:rPr>
          <w:rFonts w:ascii="Georgia" w:cs="Georgia" w:eastAsia="Georgia" w:hAnsi="Georgia"/>
          <w:sz w:val="22"/>
          <w:szCs w:val="22"/>
        </w:rPr>
        <w:t xml:space="preserve">Click Save to create a draft — this gives you a preview DOI starting with 10.5281/zenodo.</w:t>
      </w:r>
    </w:p>
    <w:p>
      <w:pPr>
        <w:pStyle w:val="ListParagraph"/>
        <w:numPr>
          <w:ilvl w:val="0"/>
          <w:numId w:val="2"/>
        </w:numPr>
        <w:spacing w:after="60" w:before="60"/>
      </w:pPr>
      <w:r>
        <w:rPr>
          <w:rFonts w:ascii="Georgia" w:cs="Georgia" w:eastAsia="Georgia" w:hAnsi="Georgia"/>
          <w:sz w:val="22"/>
          <w:szCs w:val="22"/>
        </w:rPr>
        <w:t xml:space="preserve">Review every field carefully using the preview.</w:t>
      </w:r>
    </w:p>
    <w:p>
      <w:pPr>
        <w:pStyle w:val="ListParagraph"/>
        <w:numPr>
          <w:ilvl w:val="0"/>
          <w:numId w:val="2"/>
        </w:numPr>
        <w:spacing w:after="60" w:before="60"/>
      </w:pPr>
      <w:r>
        <w:rPr>
          <w:rFonts w:ascii="Georgia" w:cs="Georgia" w:eastAsia="Georgia" w:hAnsi="Georgia"/>
          <w:sz w:val="22"/>
          <w:szCs w:val="22"/>
        </w:rPr>
        <w:t xml:space="preserve">When satisfied, click Publish. The DOI is minted immediately and the record is live.</w:t>
      </w:r>
    </w:p>
    <w:p>
      <w:pPr>
        <w:pStyle w:val="ListParagraph"/>
        <w:numPr>
          <w:ilvl w:val="0"/>
          <w:numId w:val="2"/>
        </w:numPr>
        <w:spacing w:after="60" w:before="60"/>
      </w:pPr>
      <w:r>
        <w:rPr>
          <w:rFonts w:ascii="Georgia" w:cs="Georgia" w:eastAsia="Georgia" w:hAnsi="Georgia"/>
          <w:sz w:val="22"/>
          <w:szCs w:val="22"/>
        </w:rPr>
        <w:t xml:space="preserve">The DOI cannot be changed after publication but the files and metadata can be updated by creating a new version.</w:t>
      </w:r>
    </w:p>
    <w:p>
      <w:pPr>
        <w:spacing w:after="60" w:before="60"/>
      </w:pPr>
      <w:r>
        <w:t xml:space="preserve"/>
      </w:r>
    </w:p>
    <w:p>
      <w:pPr>
        <w:pStyle w:val="Heading1"/>
        <w:spacing w:after="180" w:before="360"/>
      </w:pPr>
      <w:r>
        <w:rPr>
          <w:rFonts w:ascii="Arial" w:cs="Arial" w:eastAsia="Arial" w:hAnsi="Arial"/>
          <w:b/>
          <w:bCs/>
          <w:color w:val="1B3A5C"/>
          <w:sz w:val="28"/>
          <w:szCs w:val="28"/>
        </w:rPr>
        <w:t xml:space="preserve">After Publication — Immediate Actions</w:t>
      </w:r>
    </w:p>
    <w:p>
      <w:pPr>
        <w:pStyle w:val="Heading2"/>
        <w:spacing w:after="120" w:before="240"/>
      </w:pPr>
      <w:r>
        <w:rPr>
          <w:rFonts w:ascii="Arial" w:cs="Arial" w:eastAsia="Arial" w:hAnsi="Arial"/>
          <w:b/>
          <w:bCs/>
          <w:color w:val="2E7D9E"/>
          <w:sz w:val="24"/>
          <w:szCs w:val="24"/>
        </w:rPr>
        <w:t xml:space="preserve">Update the Presignal Portfolio Page</w:t>
      </w:r>
    </w:p>
    <w:p>
      <w:pPr>
        <w:spacing w:after="120" w:before="120" w:line="276"/>
        <w:jc w:val="left"/>
      </w:pPr>
      <w:r>
        <w:rPr>
          <w:rFonts w:ascii="Georgia" w:cs="Georgia" w:eastAsia="Georgia" w:hAnsi="Georgia"/>
          <w:color w:val="000000"/>
          <w:sz w:val="22"/>
          <w:szCs w:val="22"/>
        </w:rPr>
        <w:t xml:space="preserve">Add the new VAHS DOI to your Presignal landing page at ufosworldwide.com/presignal alongside the existing portfolio entries.</w:t>
      </w:r>
    </w:p>
    <w:p>
      <w:pPr>
        <w:pStyle w:val="Heading2"/>
        <w:spacing w:after="120" w:before="240"/>
      </w:pPr>
      <w:r>
        <w:rPr>
          <w:rFonts w:ascii="Arial" w:cs="Arial" w:eastAsia="Arial" w:hAnsi="Arial"/>
          <w:b/>
          <w:bCs/>
          <w:color w:val="2E7D9E"/>
          <w:sz w:val="24"/>
          <w:szCs w:val="24"/>
        </w:rPr>
        <w:t xml:space="preserve">Cross-Reference in the Resonance City Paper</w:t>
      </w:r>
    </w:p>
    <w:p>
      <w:pPr>
        <w:spacing w:after="120" w:before="120" w:line="276"/>
        <w:jc w:val="left"/>
      </w:pPr>
      <w:r>
        <w:rPr>
          <w:rFonts w:ascii="Georgia" w:cs="Georgia" w:eastAsia="Georgia" w:hAnsi="Georgia"/>
          <w:color w:val="000000"/>
          <w:sz w:val="22"/>
          <w:szCs w:val="22"/>
        </w:rPr>
        <w:t xml:space="preserve">When the Resonance City paper is submitted, cite the VAHS preprint DOI in the energy architecture section. This creates a citation chain across the Presignal portfolio that increases credibility of both papers.</w:t>
      </w:r>
    </w:p>
    <w:p>
      <w:pPr>
        <w:pStyle w:val="Heading2"/>
        <w:spacing w:after="120" w:before="240"/>
      </w:pPr>
      <w:r>
        <w:rPr>
          <w:rFonts w:ascii="Arial" w:cs="Arial" w:eastAsia="Arial" w:hAnsi="Arial"/>
          <w:b/>
          <w:bCs/>
          <w:color w:val="2E7D9E"/>
          <w:sz w:val="24"/>
          <w:szCs w:val="24"/>
        </w:rPr>
        <w:t xml:space="preserve">Share With the SOM-Energy Vault Contact</w:t>
      </w:r>
    </w:p>
    <w:p>
      <w:pPr>
        <w:spacing w:after="120" w:before="120" w:line="276"/>
        <w:jc w:val="left"/>
      </w:pPr>
      <w:r>
        <w:rPr>
          <w:rFonts w:ascii="Georgia" w:cs="Georgia" w:eastAsia="Georgia" w:hAnsi="Georgia"/>
          <w:color w:val="000000"/>
          <w:sz w:val="22"/>
          <w:szCs w:val="22"/>
        </w:rPr>
        <w:t xml:space="preserve">The SOM-Energy Vault EVc concept is the closest existing commercial development to the VAHS. Consider sending the preprint DOI to Energy Vault's research or business development team. The atmospheric harvest integration is the novel delta they have not proposed — they may be interested in the framework.</w:t>
      </w:r>
    </w:p>
    <w:p>
      <w:pPr>
        <w:pStyle w:val="Heading2"/>
        <w:spacing w:after="120" w:before="240"/>
      </w:pPr>
      <w:r>
        <w:rPr>
          <w:rFonts w:ascii="Arial" w:cs="Arial" w:eastAsia="Arial" w:hAnsi="Arial"/>
          <w:b/>
          <w:bCs/>
          <w:color w:val="2E7D9E"/>
          <w:sz w:val="24"/>
          <w:szCs w:val="24"/>
        </w:rPr>
        <w:t xml:space="preserve">ORCID Profile Update</w:t>
      </w:r>
    </w:p>
    <w:p>
      <w:pPr>
        <w:spacing w:after="120" w:before="120" w:line="276"/>
        <w:jc w:val="left"/>
      </w:pPr>
      <w:r>
        <w:rPr>
          <w:rFonts w:ascii="Georgia" w:cs="Georgia" w:eastAsia="Georgia" w:hAnsi="Georgia"/>
          <w:color w:val="000000"/>
          <w:sz w:val="22"/>
          <w:szCs w:val="22"/>
        </w:rPr>
        <w:t xml:space="preserve">Log in to your ORCID profile at orcid.org/0009-0004-1363-304X and add the work manually using the DOI. Zenodo will eventually sync this automatically but manual addition ensures it appears immediately.</w:t>
      </w:r>
    </w:p>
    <w:p>
      <w:pPr>
        <w:spacing w:after="60" w:before="60"/>
      </w:pPr>
      <w:r>
        <w:t xml:space="preserve"/>
      </w:r>
    </w:p>
    <w:p>
      <w:pPr>
        <w:pStyle w:val="Heading1"/>
        <w:spacing w:after="180" w:before="360"/>
      </w:pPr>
      <w:r>
        <w:rPr>
          <w:rFonts w:ascii="Arial" w:cs="Arial" w:eastAsia="Arial" w:hAnsi="Arial"/>
          <w:b/>
          <w:bCs/>
          <w:color w:val="1B3A5C"/>
          <w:sz w:val="28"/>
          <w:szCs w:val="28"/>
        </w:rPr>
        <w:t xml:space="preserve">The Complete Presignal Preprint Portfolio</w:t>
      </w:r>
    </w:p>
    <w:p>
      <w:pPr>
        <w:spacing w:after="120" w:before="120" w:line="276"/>
        <w:jc w:val="left"/>
      </w:pPr>
      <w:r>
        <w:rPr>
          <w:rFonts w:ascii="Georgia" w:cs="Georgia" w:eastAsia="Georgia" w:hAnsi="Georgia"/>
          <w:color w:val="000000"/>
          <w:sz w:val="22"/>
          <w:szCs w:val="22"/>
        </w:rPr>
        <w:t xml:space="preserve">The following papers constitute the complete Presignal research program as currently scoped. Papers marked Published are live. Papers marked In Progress are the immediate next targets.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1B3A5C" w:sz="1"/>
              <w:left w:val="single" w:color="1B3A5C" w:sz="1"/>
              <w:bottom w:val="single" w:color="1B3A5C" w:sz="1"/>
              <w:right w:val="single" w:color="1B3A5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Paper</w:t>
            </w:r>
          </w:p>
        </w:tc>
        <w:tc>
          <w:tcPr>
            <w:tcW w:type="dxa" w:w="4160"/>
            <w:tcBorders>
              <w:top w:val="single" w:color="1B3A5C" w:sz="1"/>
              <w:left w:val="single" w:color="1B3A5C" w:sz="1"/>
              <w:bottom w:val="single" w:color="1B3A5C" w:sz="1"/>
              <w:right w:val="single" w:color="1B3A5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Title / Domain</w:t>
            </w:r>
          </w:p>
        </w:tc>
        <w:tc>
          <w:tcPr>
            <w:tcW w:type="dxa" w:w="2000"/>
            <w:tcBorders>
              <w:top w:val="single" w:color="1B3A5C" w:sz="1"/>
              <w:left w:val="single" w:color="1B3A5C" w:sz="1"/>
              <w:bottom w:val="single" w:color="1B3A5C" w:sz="1"/>
              <w:right w:val="single" w:color="1B3A5C"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Status / DOI</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8"/>
                <w:szCs w:val="18"/>
              </w:rPr>
              <w:t xml:space="preserve">GGI Paper 1</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sz w:val="18"/>
                <w:szCs w:val="18"/>
              </w:rPr>
              <w:t xml:space="preserve">Global Geostability Index — Multi-hazard siting for 500-year infrastructure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6"/>
                <w:szCs w:val="16"/>
              </w:rPr>
              <w:t xml:space="preserve">In Progress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VAHS Paper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18"/>
                <w:szCs w:val="18"/>
              </w:rPr>
              <w:t xml:space="preserve">Vertical Arcology Hydraulic Spine — Energy architecture</w:t>
            </w:r>
          </w:p>
        </w:tc>
        <w:tc>
          <w:tcPr>
            <w:tcW w:type="dxa" w:w="2000"/>
            <w:tcBorders>
              <w:top w:val="single" w:color="CCCCCC" w:sz="1"/>
              <w:left w:val="single" w:color="CCCCCC" w:sz="1"/>
              <w:bottom w:val="single" w:color="CCCCCC" w:sz="1"/>
              <w:right w:val="single" w:color="CCCCCC" w:sz="1"/>
            </w:tcBorders>
            <w:shd w:fill="EAF3F8" w:val="clear"/>
            <w:tcMar>
              <w:top w:type="dxa" w:w="80"/>
              <w:left w:type="dxa" w:w="120"/>
              <w:bottom w:type="dxa" w:w="80"/>
              <w:right w:type="dxa" w:w="120"/>
            </w:tcMar>
          </w:tcPr>
          <w:p>
            <w:r>
              <w:rPr>
                <w:rFonts w:ascii="Arial" w:cs="Arial" w:eastAsia="Arial" w:hAnsi="Arial"/>
                <w:b/>
                <w:bCs/>
                <w:color w:val="2E7D9E"/>
                <w:sz w:val="16"/>
                <w:szCs w:val="16"/>
              </w:rPr>
              <w:t xml:space="preserve">This Document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8"/>
                <w:szCs w:val="18"/>
              </w:rPr>
              <w:t xml:space="preserve">Resonance City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sz w:val="18"/>
                <w:szCs w:val="18"/>
              </w:rPr>
              <w:t xml:space="preserve">Post-scarcity vertical cluster architecture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6"/>
                <w:szCs w:val="16"/>
              </w:rPr>
              <w:t xml:space="preserve">In Progress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Closed Frontier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18"/>
                <w:szCs w:val="18"/>
              </w:rPr>
              <w:t xml:space="preserve">Why the frontier must now be engineered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6"/>
                <w:szCs w:val="16"/>
              </w:rPr>
              <w:t xml:space="preserve">Planned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8"/>
                <w:szCs w:val="18"/>
              </w:rPr>
              <w:t xml:space="preserve">GPDM</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sz w:val="18"/>
                <w:szCs w:val="18"/>
              </w:rPr>
              <w:t xml:space="preserve">Geological Pathway Diversity Model — Earth lights correlation</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6"/>
                <w:szCs w:val="16"/>
              </w:rPr>
              <w:t xml:space="preserve">Published: 10.31223/X5J47D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EM Sentinel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18"/>
                <w:szCs w:val="18"/>
              </w:rPr>
              <w:t xml:space="preserve">Field instrumentation for anomaly monitoring</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6"/>
                <w:szCs w:val="16"/>
              </w:rPr>
              <w:t xml:space="preserve">Published: 10.5281/zenodo.19870281</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8"/>
                <w:szCs w:val="18"/>
              </w:rPr>
              <w:t xml:space="preserve">Field Node v2.0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sz w:val="18"/>
                <w:szCs w:val="18"/>
              </w:rPr>
              <w:t xml:space="preserve">Sensor network architecture</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6"/>
                <w:szCs w:val="16"/>
              </w:rPr>
              <w:t xml:space="preserve">Published: 10.5281/zenodo.19870137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SafeKey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18"/>
                <w:szCs w:val="18"/>
              </w:rPr>
              <w:t xml:space="preserve">Cybersecurity framework</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6"/>
                <w:szCs w:val="16"/>
              </w:rPr>
              <w:t xml:space="preserve">Published: 10.5281/zenodo.20042543</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8"/>
                <w:szCs w:val="18"/>
              </w:rPr>
              <w:t xml:space="preserve">ITS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sz w:val="18"/>
                <w:szCs w:val="18"/>
              </w:rPr>
              <w:t xml:space="preserve">Immunological Tinnitus Subtype</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6"/>
                <w:szCs w:val="16"/>
              </w:rPr>
              <w:t xml:space="preserve">Published: 10.5281/zenodo.19654306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AquaSignal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18"/>
                <w:szCs w:val="18"/>
              </w:rPr>
              <w:t xml:space="preserve">Grand River source water intelligence</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6"/>
                <w:szCs w:val="16"/>
              </w:rPr>
              <w:t xml:space="preserve">Published: 10.5281/zenodo.19653415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8"/>
                <w:szCs w:val="18"/>
              </w:rPr>
              <w:t xml:space="preserve">Tardigrade/Dsup</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sz w:val="18"/>
                <w:szCs w:val="18"/>
              </w:rPr>
              <w:t xml:space="preserve">From Water Bears to Nuclear Workers — radioprotection</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6"/>
                <w:szCs w:val="16"/>
              </w:rPr>
              <w:t xml:space="preserve">Published: 10.5281/zenodo.20180890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Ostrom Protocol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18"/>
                <w:szCs w:val="18"/>
              </w:rPr>
              <w:t xml:space="preserve">Governance design for post-scarcity clusters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6"/>
                <w:szCs w:val="16"/>
              </w:rPr>
              <w:t xml:space="preserve">Planned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8"/>
                <w:szCs w:val="18"/>
              </w:rPr>
              <w:t xml:space="preserve">Biocultural Vaulting</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sz w:val="18"/>
                <w:szCs w:val="18"/>
              </w:rPr>
              <w:t xml:space="preserve">Cultural diversity preservation in cluster architecture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6"/>
                <w:szCs w:val="16"/>
              </w:rPr>
              <w:t xml:space="preserve">Planned</w:t>
            </w:r>
          </w:p>
        </w:tc>
      </w:tr>
    </w:tbl>
    <w:p>
      <w:pPr>
        <w:spacing w:after="60" w:before="60"/>
      </w:pPr>
      <w:r>
        <w:t xml:space="preserve"/>
      </w:r>
    </w:p>
    <w:p>
      <w:pPr>
        <w:spacing w:after="60" w:before="60"/>
      </w:pPr>
      <w:r>
        <w:t xml:space="preserve"/>
      </w:r>
    </w:p>
    <w:p>
      <w:pPr>
        <w:pBdr>
          <w:bottom w:val="single" w:color="1B3A5C" w:sz="6" w:space="1"/>
        </w:pBdr>
        <w:spacing w:after="60" w:before="60"/>
      </w:pPr>
      <w:r>
        <w:t xml:space="preserve"/>
      </w:r>
    </w:p>
    <w:p>
      <w:pPr>
        <w:spacing w:after="60" w:before="180"/>
        <w:jc w:val="center"/>
      </w:pPr>
      <w:r>
        <w:rPr>
          <w:rFonts w:ascii="Arial" w:cs="Arial" w:eastAsia="Arial" w:hAnsi="Arial"/>
          <w:b/>
          <w:bCs/>
          <w:color w:val="1B3A5C"/>
          <w:sz w:val="22"/>
          <w:szCs w:val="22"/>
        </w:rPr>
        <w:t xml:space="preserve">Presignal Research Initiative</w:t>
      </w:r>
    </w:p>
    <w:p>
      <w:pPr>
        <w:spacing w:after="60" w:before="0"/>
        <w:jc w:val="center"/>
      </w:pPr>
      <w:r>
        <w:rPr>
          <w:rFonts w:ascii="Arial" w:cs="Arial" w:eastAsia="Arial" w:hAnsi="Arial"/>
          <w:color w:val="555555"/>
          <w:sz w:val="20"/>
          <w:szCs w:val="20"/>
        </w:rPr>
        <w:t xml:space="preserve">Presignal Inc. · Niagara Region, Ontario, Canada</w:t>
      </w:r>
    </w:p>
    <w:p>
      <w:pPr>
        <w:spacing w:after="60" w:before="0"/>
        <w:jc w:val="center"/>
      </w:pPr>
      <w:r>
        <w:rPr>
          <w:rFonts w:ascii="Arial" w:cs="Arial" w:eastAsia="Arial" w:hAnsi="Arial"/>
          <w:color w:val="2E7D9E"/>
          <w:sz w:val="20"/>
          <w:szCs w:val="20"/>
        </w:rPr>
        <w:t xml:space="preserve">jubecrew@gmail.com · ORCID 0009-0004-1363-304X</w:t>
      </w:r>
    </w:p>
    <w:p>
      <w:pPr>
        <w:spacing w:after="0" w:before="60"/>
        <w:jc w:val="center"/>
      </w:pPr>
      <w:r>
        <w:rPr>
          <w:rFonts w:ascii="Arial" w:cs="Arial" w:eastAsia="Arial" w:hAnsi="Arial"/>
          <w:i/>
          <w:iCs/>
          <w:color w:val="2E7D9E"/>
          <w:sz w:val="20"/>
          <w:szCs w:val="20"/>
        </w:rPr>
        <w:t xml:space="preserve">ufosworldwide.com/presignal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9E" w:sz="4" w:space="1"/>
      </w:pBdr>
      <w:tabs>
        <w:tab w:val="right" w:pos="9360"/>
      </w:tabs>
      <w:spacing w:before="120"/>
    </w:pPr>
    <w:r>
      <w:rPr>
        <w:rFonts w:ascii="Arial" w:cs="Arial" w:eastAsia="Arial" w:hAnsi="Arial"/>
        <w:color w:val="666666"/>
        <w:sz w:val="16"/>
        <w:szCs w:val="16"/>
      </w:rPr>
      <w:t xml:space="preserve">John Ernest Carter  |  ORCID 0009-0004-1363-304X  |  Presignal Inc.</w:t>
    </w:r>
    <w:r>
      <w:rPr>
        <w:rFonts w:ascii="Arial" w:cs="Arial" w:eastAsia="Arial" w:hAnsi="Arial"/>
        <w:sz w:val="16"/>
        <w:szCs w:val="16"/>
      </w:rPr>
      <w:t xml:space="preserv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9E" w:sz="4" w:space="1"/>
      </w:pBdr>
      <w:spacing w:after="120" w:before="0"/>
    </w:pPr>
    <w:r>
      <w:rPr>
        <w:rFonts w:ascii="Arial" w:cs="Arial" w:eastAsia="Arial" w:hAnsi="Arial"/>
        <w:b/>
        <w:bCs/>
        <w:color w:val="1B3A5C"/>
        <w:sz w:val="18"/>
        <w:szCs w:val="18"/>
      </w:rPr>
      <w:t xml:space="preserve">PRESIGNAL RESEARCH INITIATIVE  |  </w:t>
    </w:r>
    <w:r>
      <w:rPr>
        <w:rFonts w:ascii="Arial" w:cs="Arial" w:eastAsia="Arial" w:hAnsi="Arial"/>
        <w:color w:val="2E7D9E"/>
        <w:sz w:val="18"/>
        <w:szCs w:val="18"/>
      </w:rPr>
      <w:t xml:space="preserve">Vertical Arcology Hydraulic Spine (VAHS)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D9E"/>
      <w:sz w:val="24"/>
      <w:szCs w:val="24"/>
    </w:rPr>
  </w:style>
  <w:style w:type="paragraph" w:styleId="Heading3">
    <w:name w:val="Heading 3"/>
    <w:basedOn w:val="Normal"/>
    <w:next w:val="Normal"/>
    <w:qFormat/>
    <w:pPr>
      <w:spacing w:after="80" w:before="200"/>
      <w:outlineLvl w:val="2"/>
    </w:pPr>
    <w:rPr>
      <w:rFonts w:ascii="Arial" w:cs="Arial" w:eastAsia="Arial" w:hAnsi="Arial"/>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2026-05-14T12:52:18.132Z</dcterms:created>
  <dcterms:modified xsi:type="dcterms:W3CDTF">2026-05-14T12:52:18.133Z</dcterms:modified>
</cp:coreProperties>
</file>

<file path=docProps/custom.xml><?xml version="1.0" encoding="utf-8"?>
<Properties xmlns="http://schemas.openxmlformats.org/officeDocument/2006/custom-properties" xmlns:vt="http://schemas.openxmlformats.org/officeDocument/2006/docPropsVTypes"/>
</file>