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aps/>
          <w:color w:val="AAAAAA"/>
          <w:sz w:val="18"/>
          <w:szCs w:val="18"/>
        </w:rPr>
        <w:t xml:space="preserve">ASTERA 2026 ESSAY &amp; HYPOTHESIS COMPETITION</w:t>
      </w:r>
    </w:p>
    <w:p>
      <w:pPr>
        <w:spacing w:after="60" w:before="0"/>
        <w:jc w:val="center"/>
      </w:pPr>
      <w:r>
        <w:rPr>
          <w:rFonts w:ascii="Arial" w:cs="Arial" w:eastAsia="Arial" w:hAnsi="Arial"/>
          <w:color w:val="CCCCCC"/>
          <w:sz w:val="18"/>
          <w:szCs w:val="18"/>
        </w:rPr>
        <w:t xml:space="preserve">Systemic Bottlenecks in Science  •  CC BY 4.0  •  Zenodo Preprint</w:t>
      </w:r>
    </w:p>
    <w:p>
      <w:pPr>
        <w:pBdr>
          <w:bottom w:val="single" w:color="2E74B5" w:sz="6" w:space="1"/>
        </w:pBdr>
        <w:spacing w:after="200" w:before="200"/>
      </w:pPr>
      <w:r>
        <w:t xml:space="preserve"/>
      </w:r>
    </w:p>
    <w:p>
      <w:pPr>
        <w:spacing w:after="120" w:before="240"/>
        <w:jc w:val="center"/>
      </w:pPr>
      <w:r>
        <w:rPr>
          <w:rFonts w:ascii="Arial" w:cs="Arial" w:eastAsia="Arial" w:hAnsi="Arial"/>
          <w:b/>
          <w:bCs/>
          <w:color w:val="1F3864"/>
          <w:sz w:val="40"/>
          <w:szCs w:val="40"/>
        </w:rPr>
        <w:t xml:space="preserve">The Ant’s Horizon:</w:t>
      </w:r>
    </w:p>
    <w:p>
      <w:pPr>
        <w:spacing w:after="280" w:before="0"/>
        <w:jc w:val="center"/>
      </w:pPr>
      <w:r>
        <w:rPr>
          <w:rFonts w:ascii="Arial" w:cs="Arial" w:eastAsia="Arial" w:hAnsi="Arial"/>
          <w:color w:val="2E74B5"/>
          <w:sz w:val="26"/>
          <w:szCs w:val="26"/>
        </w:rPr>
        <w:t xml:space="preserve">How Systematic Variable Exclusion Keeps Civilizational Science Blind — and Three Experiments That Prove It</w:t>
      </w:r>
    </w:p>
    <w:p>
      <w:pPr>
        <w:spacing w:after="60" w:before="0"/>
        <w:jc w:val="center"/>
      </w:pPr>
      <w:r>
        <w:rPr>
          <w:rFonts w:ascii="Arial" w:cs="Arial" w:eastAsia="Arial" w:hAnsi="Arial"/>
          <w:b/>
          <w:bCs/>
          <w:sz w:val="24"/>
          <w:szCs w:val="24"/>
        </w:rPr>
        <w:t xml:space="preserve">John Ernest Carter</w:t>
      </w:r>
    </w:p>
    <w:p>
      <w:pPr>
        <w:spacing w:after="40" w:before="40"/>
        <w:jc w:val="center"/>
      </w:pPr>
      <w:r>
        <w:rPr>
          <w:rFonts w:ascii="Arial" w:cs="Arial" w:eastAsia="Arial" w:hAnsi="Arial"/>
          <w:b/>
          <w:bCs/>
          <w:color w:val="555555"/>
          <w:sz w:val="20"/>
          <w:szCs w:val="20"/>
        </w:rPr>
        <w:t xml:space="preserve">Affiliation: </w:t>
      </w:r>
      <w:r>
        <w:rPr>
          <w:rFonts w:ascii="Arial" w:cs="Arial" w:eastAsia="Arial" w:hAnsi="Arial"/>
          <w:color w:val="555555"/>
          <w:sz w:val="20"/>
          <w:szCs w:val="20"/>
        </w:rPr>
        <w:t xml:space="preserve">Presignal Research Initiative, Presignal Inc., Niagara Region, Ontario, Canada</w:t>
      </w:r>
    </w:p>
    <w:p>
      <w:pPr>
        <w:spacing w:after="40" w:before="40"/>
        <w:jc w:val="center"/>
      </w:pPr>
      <w:r>
        <w:rPr>
          <w:rFonts w:ascii="Arial" w:cs="Arial" w:eastAsia="Arial" w:hAnsi="Arial"/>
          <w:b/>
          <w:bCs/>
          <w:color w:val="555555"/>
          <w:sz w:val="20"/>
          <w:szCs w:val="20"/>
        </w:rPr>
        <w:t xml:space="preserve">ORCID: </w:t>
      </w:r>
      <w:r>
        <w:rPr>
          <w:rFonts w:ascii="Arial" w:cs="Arial" w:eastAsia="Arial" w:hAnsi="Arial"/>
          <w:color w:val="555555"/>
          <w:sz w:val="20"/>
          <w:szCs w:val="20"/>
        </w:rPr>
        <w:t xml:space="preserve">0009-0004-1363-304X</w:t>
      </w:r>
    </w:p>
    <w:p>
      <w:pPr>
        <w:spacing w:after="40" w:before="40"/>
        <w:jc w:val="center"/>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May 18, 2026</w:t>
      </w:r>
    </w:p>
    <w:p>
      <w:pPr>
        <w:spacing w:after="40" w:before="40"/>
        <w:jc w:val="center"/>
      </w:pPr>
      <w:r>
        <w:rPr>
          <w:rFonts w:ascii="Arial" w:cs="Arial" w:eastAsia="Arial" w:hAnsi="Arial"/>
          <w:b/>
          <w:bCs/>
          <w:color w:val="555555"/>
          <w:sz w:val="20"/>
          <w:szCs w:val="20"/>
        </w:rPr>
        <w:t xml:space="preserve">License: </w:t>
      </w:r>
      <w:r>
        <w:rPr>
          <w:rFonts w:ascii="Arial" w:cs="Arial" w:eastAsia="Arial" w:hAnsi="Arial"/>
          <w:color w:val="555555"/>
          <w:sz w:val="20"/>
          <w:szCs w:val="20"/>
        </w:rPr>
        <w:t xml:space="preserve">CC BY 4.0</w:t>
      </w:r>
    </w:p>
    <w:p>
      <w:pPr>
        <w:spacing w:after="80" w:before="80"/>
      </w:pPr>
      <w:r>
        <w:t xml:space="preserve"/>
      </w:r>
    </w:p>
    <w:p>
      <w:pPr>
        <w:spacing w:after="60" w:before="60"/>
        <w:jc w:val="center"/>
      </w:pPr>
      <w:r>
        <w:rPr>
          <w:rFonts w:ascii="Arial" w:cs="Arial" w:eastAsia="Arial" w:hAnsi="Arial"/>
          <w:i/>
          <w:iCs/>
          <w:color w:val="888888"/>
          <w:sz w:val="18"/>
          <w:szCs w:val="18"/>
        </w:rPr>
        <w:t xml:space="preserve">This essay represents the views of the author and not any affiliated institution.</w:t>
      </w:r>
    </w:p>
    <w:p>
      <w:pPr>
        <w:pBdr>
          <w:bottom w:val="single" w:color="2E74B5" w:sz="6"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The Bottleneck</w:t>
      </w:r>
    </w:p>
    <w:p>
      <w:pPr>
        <w:spacing w:after="100" w:before="100"/>
        <w:jc w:val="both"/>
      </w:pPr>
      <w:r>
        <w:rPr>
          <w:rFonts w:ascii="Arial" w:cs="Arial" w:eastAsia="Arial" w:hAnsi="Arial"/>
          <w:sz w:val="22"/>
          <w:szCs w:val="22"/>
        </w:rPr>
        <w:t xml:space="preserve">Every domain of modern science optimizes within a fixed frame. Climate models exclude the galaxy. Battery electrodes optimize tortuosity but ignore the branching geometry that governs natural transport networks. Tinnitus is treated as neurological when the immune system is already attacking the cochlea. Water management plans monitor chlorine residuals but ignore the multi-decade baseline of source water chemistry that predicts outbreaks weeks in advance.</w:t>
      </w:r>
    </w:p>
    <w:p>
      <w:pPr>
        <w:spacing w:after="80" w:before="80"/>
      </w:pPr>
      <w:r>
        <w:t xml:space="preserve"/>
      </w:r>
    </w:p>
    <w:p>
      <w:pPr>
        <w:spacing w:after="100" w:before="100"/>
        <w:jc w:val="both"/>
      </w:pPr>
      <w:r>
        <w:rPr>
          <w:rFonts w:ascii="Arial" w:cs="Arial" w:eastAsia="Arial" w:hAnsi="Arial"/>
          <w:sz w:val="22"/>
          <w:szCs w:val="22"/>
        </w:rPr>
        <w:t xml:space="preserve">These are not isolated failures. They share a common structure: the systematic exclusion of documented variables from foundational models. Not unknown variables. Not speculative variables. Variables that exist in the peer-reviewed literature, quietly waiting to be incorporated into the models that ignore them.</w:t>
      </w:r>
    </w:p>
    <w:p>
      <w:pPr>
        <w:spacing w:after="80" w:before="80"/>
      </w:pPr>
      <w:r>
        <w:t xml:space="preserve"/>
      </w:r>
    </w:p>
    <w:p>
      <w:pPr>
        <w:pBdr>
          <w:left w:val="single" w:color="2E74B5" w:sz="12" w:space="8"/>
        </w:pBdr>
        <w:spacing w:after="120" w:before="120"/>
        <w:ind w:left="480"/>
        <w:jc w:val="both"/>
      </w:pPr>
      <w:r>
        <w:rPr>
          <w:rFonts w:ascii="Arial" w:cs="Arial" w:eastAsia="Arial" w:hAnsi="Arial"/>
          <w:i/>
          <w:iCs/>
          <w:color w:val="333333"/>
          <w:sz w:val="22"/>
          <w:szCs w:val="22"/>
        </w:rPr>
        <w:t xml:space="preserve">The ant builds a perfect tunnel. It cannot conceive of the mountain. Our institutions have become the ant — perfectly optimized for questions they have already decided to ask, structurally blind to the ones they have not.</w:t>
      </w:r>
    </w:p>
    <w:p>
      <w:pPr>
        <w:pStyle w:val="Heading1"/>
        <w:spacing w:after="160" w:before="320"/>
      </w:pPr>
      <w:r>
        <w:rPr>
          <w:rFonts w:ascii="Arial" w:cs="Arial" w:eastAsia="Arial" w:hAnsi="Arial"/>
          <w:b/>
          <w:bCs/>
          <w:color w:val="1F3864"/>
          <w:sz w:val="30"/>
          <w:szCs w:val="30"/>
        </w:rPr>
        <w:t xml:space="preserve">Why Existing Structures Cannot Fix This</w:t>
      </w:r>
    </w:p>
    <w:p>
      <w:pPr>
        <w:spacing w:after="100" w:before="100"/>
        <w:jc w:val="both"/>
      </w:pPr>
      <w:r>
        <w:rPr>
          <w:rFonts w:ascii="Arial" w:cs="Arial" w:eastAsia="Arial" w:hAnsi="Arial"/>
          <w:sz w:val="22"/>
          <w:szCs w:val="22"/>
        </w:rPr>
        <w:t xml:space="preserve">Peer review enforces consensus. Funding agencies reward incremental progress. Journals publish within disciplinary silos.</w:t>
      </w:r>
    </w:p>
    <w:p>
      <w:pPr>
        <w:spacing w:after="80" w:before="80"/>
      </w:pPr>
      <w:r>
        <w:t xml:space="preserve"/>
      </w:r>
    </w:p>
    <w:p>
      <w:pPr>
        <w:spacing w:after="100" w:before="100"/>
        <w:jc w:val="both"/>
      </w:pPr>
      <w:r>
        <w:rPr>
          <w:rFonts w:ascii="Arial" w:cs="Arial" w:eastAsia="Arial" w:hAnsi="Arial"/>
          <w:sz w:val="22"/>
          <w:szCs w:val="22"/>
        </w:rPr>
        <w:t xml:space="preserve">A paper showing that heliospheric compression by interstellar medium clouds forced paleoclimate events 2–3 million years ago (Opher et al. 2024, Nature Astronomy) is filed under astrophysics and never reaches IPCC working groups. A meta-analysis documenting a 3.42-fold elevated odds of sensorineural hearing loss in rheumatoid arthritis patients (Colella et al. 2020) is read by rheumatologists, not audiologists. Sixty years of source water conductivity and turbidity exceedances in the Grand River watershed (Carter 2026a) go unread by the cooling tower operators whose Legionella risk they predict.</w:t>
      </w:r>
    </w:p>
    <w:p>
      <w:pPr>
        <w:spacing w:after="80" w:before="80"/>
      </w:pPr>
      <w:r>
        <w:t xml:space="preserve"/>
      </w:r>
    </w:p>
    <w:p>
      <w:pPr>
        <w:spacing w:after="100" w:before="100"/>
        <w:jc w:val="both"/>
      </w:pPr>
      <w:r>
        <w:rPr>
          <w:rFonts w:ascii="Arial" w:cs="Arial" w:eastAsia="Arial" w:hAnsi="Arial"/>
          <w:sz w:val="22"/>
          <w:szCs w:val="22"/>
        </w:rPr>
        <w:t xml:space="preserve">The bottleneck is not technical. It is institutional and epistemic. The structures that produce scientific knowledge are optimized for narrow, stable, low-risk questions. They actively exclude questions that span scales or require integration across domains simultaneously. No existing mechanism funds a proposal that simultaneously re-engineers battery electrodes using transport-optimal branching geometry, predicts Legionella outbreaks from seasonal water chemistry, and diagnoses tinnitus by autoimmune panel — even though all three share the same underlying logic: a documented variable is being excluded from a baseline model that would otherwise explain the residual.</w:t>
      </w:r>
    </w:p>
    <w:p>
      <w:pPr>
        <w:pStyle w:val="Heading1"/>
        <w:spacing w:after="160" w:before="320"/>
      </w:pPr>
      <w:r>
        <w:rPr>
          <w:rFonts w:ascii="Arial" w:cs="Arial" w:eastAsia="Arial" w:hAnsi="Arial"/>
          <w:b/>
          <w:bCs/>
          <w:color w:val="1F3864"/>
          <w:sz w:val="30"/>
          <w:szCs w:val="30"/>
        </w:rPr>
        <w:t xml:space="preserve">Testable Hypothesis</w:t>
      </w:r>
    </w:p>
    <w:p>
      <w:pPr>
        <w:spacing w:after="100" w:before="100"/>
        <w:jc w:val="both"/>
      </w:pPr>
      <w:r>
        <w:rPr>
          <w:rFonts w:ascii="Arial" w:cs="Arial" w:eastAsia="Arial" w:hAnsi="Arial"/>
          <w:sz w:val="22"/>
          <w:szCs w:val="22"/>
        </w:rPr>
        <w:t xml:space="preserve">If a scientific or engineering system is redesigned to include variables that classical baselines exclude — specifically, variables documented in the peer-reviewed literature but absent from operational models — then the system will outperform the conventional baseline across measurable performance metrics by a margin exceeding incremental optimization alone.</w:t>
      </w:r>
    </w:p>
    <w:p>
      <w:pPr>
        <w:spacing w:after="80" w:before="80"/>
      </w:pPr>
      <w:r>
        <w:t xml:space="preserve"/>
      </w:r>
    </w:p>
    <w:p>
      <w:pPr>
        <w:spacing w:after="100" w:before="100"/>
        <w:jc w:val="both"/>
      </w:pPr>
      <w:r>
        <w:rPr>
          <w:rFonts w:ascii="Arial" w:cs="Arial" w:eastAsia="Arial" w:hAnsi="Arial"/>
          <w:sz w:val="22"/>
          <w:szCs w:val="22"/>
        </w:rPr>
        <w:t xml:space="preserve">This is a falsifiable claim. It predicts that the gap between what our models explain and what our data shows is not random noise. It is structured signal, produced by identifiable excluded variables. Finding those variables and incorporating them is not a philosophical exercise. It is an engineering task with measurable outcomes.</w:t>
      </w:r>
    </w:p>
    <w:p>
      <w:pPr>
        <w:spacing w:after="80" w:before="80"/>
      </w:pPr>
      <w:r>
        <w:t xml:space="preserve"/>
      </w:r>
    </w:p>
    <w:p>
      <w:pPr>
        <w:spacing w:after="100" w:before="100"/>
        <w:jc w:val="both"/>
      </w:pPr>
      <w:r>
        <w:rPr>
          <w:rFonts w:ascii="Arial" w:cs="Arial" w:eastAsia="Arial" w:hAnsi="Arial"/>
          <w:sz w:val="22"/>
          <w:szCs w:val="22"/>
        </w:rPr>
        <w:t xml:space="preserve">We have identified three concrete instances where this gap is demonstrable, the excluded variable is documented, and an experiment can close the loop.</w:t>
      </w:r>
    </w:p>
    <w:p>
      <w:pPr>
        <w:pStyle w:val="Heading1"/>
        <w:spacing w:after="160" w:before="320"/>
      </w:pPr>
      <w:r>
        <w:rPr>
          <w:rFonts w:ascii="Arial" w:cs="Arial" w:eastAsia="Arial" w:hAnsi="Arial"/>
          <w:b/>
          <w:bCs/>
          <w:color w:val="1F3864"/>
          <w:sz w:val="30"/>
          <w:szCs w:val="30"/>
        </w:rPr>
        <w:t xml:space="preserve">Three Experiments</w:t>
      </w:r>
    </w:p>
    <w:p>
      <w:pPr>
        <w:pStyle w:val="Heading2"/>
        <w:spacing w:after="100" w:before="220"/>
      </w:pPr>
      <w:r>
        <w:rPr>
          <w:rFonts w:ascii="Arial" w:cs="Arial" w:eastAsia="Arial" w:hAnsi="Arial"/>
          <w:b/>
          <w:bCs/>
          <w:color w:val="2E74B5"/>
          <w:sz w:val="24"/>
          <w:szCs w:val="24"/>
        </w:rPr>
        <w:t xml:space="preserve">Experiment 1: Immunological Tinnitus Subtype (ITS)</w:t>
      </w:r>
    </w:p>
    <w:p>
      <w:pPr>
        <w:spacing w:after="100" w:before="100"/>
        <w:jc w:val="both"/>
      </w:pPr>
      <w:r>
        <w:rPr>
          <w:rFonts w:ascii="Arial" w:cs="Arial" w:eastAsia="Arial" w:hAnsi="Arial"/>
          <w:sz w:val="22"/>
          <w:szCs w:val="22"/>
        </w:rPr>
        <w:t xml:space="preserve">The classical model treats tinnitus as a neurological phantom signal. A coherent body of peer-reviewed evidence suggests a distinct autoimmune subtype exists: driven by TNF-α elevation along the auditory pathway, autoantibody attack on cochlear proteins (HSP70, collagen II), and TNF-α-mediated cochlear microcirculation reduction of approximately 35% — reversible with etanercept (Bertlich et al. 2017). A rodent knockout study confirms TNF-α elimination prevents tinnitus induction (Wang et al. 2019, PLOS Biology). A meta-analysis shows RA patients have 3.42-fold elevated odds of sensorineural hearing loss (Colella et al. 2020). An active DoD Phase II trial is testing intratympanic anti-TNF therapy.</w:t>
      </w:r>
    </w:p>
    <w:p>
      <w:pPr>
        <w:spacing w:after="80" w:before="80"/>
      </w:pPr>
      <w:r>
        <w:t xml:space="preserve"/>
      </w:r>
    </w:p>
    <w:p>
      <w:pPr>
        <w:spacing w:after="100" w:before="100"/>
        <w:jc w:val="both"/>
      </w:pPr>
      <w:r>
        <w:rPr>
          <w:rFonts w:ascii="Arial" w:cs="Arial" w:eastAsia="Arial" w:hAnsi="Arial"/>
          <w:sz w:val="22"/>
          <w:szCs w:val="22"/>
        </w:rPr>
        <w:t xml:space="preserve">The excluded variable is the autoimmune panel. The experiment: add RF, anti-CCP, CRP, ESR, TNF-α, and HSP70 to the standard tinnitus diagnostic workup for 200 consecutive patients at a single audiology clinic. Compare treatment response rates between ITS-positive patients and the standard-of-care control group.</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Cost: under $50,000</w:t>
      </w:r>
    </w:p>
    <w:p>
      <w:pPr>
        <w:pStyle w:val="ListParagraph"/>
        <w:numPr>
          <w:ilvl w:val="0"/>
          <w:numId w:val="2"/>
        </w:numPr>
        <w:spacing w:after="60" w:before="60"/>
      </w:pPr>
      <w:r>
        <w:rPr>
          <w:rFonts w:ascii="Arial" w:cs="Arial" w:eastAsia="Arial" w:hAnsi="Arial"/>
          <w:sz w:val="22"/>
          <w:szCs w:val="22"/>
        </w:rPr>
        <w:t xml:space="preserve">Timeline: 18 months</w:t>
      </w:r>
    </w:p>
    <w:p>
      <w:pPr>
        <w:pStyle w:val="ListParagraph"/>
        <w:numPr>
          <w:ilvl w:val="0"/>
          <w:numId w:val="2"/>
        </w:numPr>
        <w:spacing w:after="60" w:before="60"/>
      </w:pPr>
      <w:r>
        <w:rPr>
          <w:rFonts w:ascii="Arial" w:cs="Arial" w:eastAsia="Arial" w:hAnsi="Arial"/>
          <w:sz w:val="22"/>
          <w:szCs w:val="22"/>
        </w:rPr>
        <w:t xml:space="preserve">Success criterion: ITS-positive patients show statistically significant improvement with anti-inflammatory treatment vs. controls</w:t>
      </w:r>
    </w:p>
    <w:p>
      <w:pPr>
        <w:pStyle w:val="ListParagraph"/>
        <w:numPr>
          <w:ilvl w:val="0"/>
          <w:numId w:val="2"/>
        </w:numPr>
        <w:spacing w:after="60" w:before="60"/>
      </w:pPr>
      <w:r>
        <w:rPr>
          <w:rFonts w:ascii="Arial" w:cs="Arial" w:eastAsia="Arial" w:hAnsi="Arial"/>
          <w:sz w:val="22"/>
          <w:szCs w:val="22"/>
        </w:rPr>
        <w:t xml:space="preserve">Falsification: no difference in treatment response between groups</w:t>
      </w:r>
    </w:p>
    <w:p>
      <w:pPr>
        <w:pStyle w:val="Heading2"/>
        <w:spacing w:after="100" w:before="220"/>
      </w:pPr>
      <w:r>
        <w:rPr>
          <w:rFonts w:ascii="Arial" w:cs="Arial" w:eastAsia="Arial" w:hAnsi="Arial"/>
          <w:b/>
          <w:bCs/>
          <w:color w:val="2E74B5"/>
          <w:sz w:val="24"/>
          <w:szCs w:val="24"/>
        </w:rPr>
        <w:t xml:space="preserve">Experiment 2: Source Water Chemistry as a Legionella Predictor</w:t>
      </w:r>
    </w:p>
    <w:p>
      <w:pPr>
        <w:spacing w:after="100" w:before="100"/>
        <w:jc w:val="both"/>
      </w:pPr>
      <w:r>
        <w:rPr>
          <w:rFonts w:ascii="Arial" w:cs="Arial" w:eastAsia="Arial" w:hAnsi="Arial"/>
          <w:sz w:val="22"/>
          <w:szCs w:val="22"/>
        </w:rPr>
        <w:t xml:space="preserve">Legionella outbreaks are treated as discrete, unpredictable events. Sixty years of publicly available water quality data from the Grand River watershed shows systematic seasonal exceedances in conductivity, turbidity, and temperature that precede outbreak conditions by weeks (Carter 2026a). The 2025 Middlesex-London outbreak (107 confirmed cases) occurred during a period fully consistent with the predictive pattern.</w:t>
      </w:r>
    </w:p>
    <w:p>
      <w:pPr>
        <w:spacing w:after="80" w:before="80"/>
      </w:pPr>
      <w:r>
        <w:t xml:space="preserve"/>
      </w:r>
    </w:p>
    <w:p>
      <w:pPr>
        <w:spacing w:after="100" w:before="100"/>
        <w:jc w:val="both"/>
      </w:pPr>
      <w:r>
        <w:rPr>
          <w:rFonts w:ascii="Arial" w:cs="Arial" w:eastAsia="Arial" w:hAnsi="Arial"/>
          <w:sz w:val="22"/>
          <w:szCs w:val="22"/>
        </w:rPr>
        <w:t xml:space="preserve">The excluded variable is source water baseline chemistry. The experiment: apply the predictive model to three municipal water systems in the Grand River watershed, issuing risk forecasts 30 days in advance based on source water chemistry. Compare forecast accuracy against current reactive monitoring.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Cost: under $30,000 in data processing</w:t>
      </w:r>
    </w:p>
    <w:p>
      <w:pPr>
        <w:pStyle w:val="ListParagraph"/>
        <w:numPr>
          <w:ilvl w:val="0"/>
          <w:numId w:val="2"/>
        </w:numPr>
        <w:spacing w:after="60" w:before="60"/>
      </w:pPr>
      <w:r>
        <w:rPr>
          <w:rFonts w:ascii="Arial" w:cs="Arial" w:eastAsia="Arial" w:hAnsi="Arial"/>
          <w:sz w:val="22"/>
          <w:szCs w:val="22"/>
        </w:rPr>
        <w:t xml:space="preserve">Timeline: 12 months of prospective forecasting</w:t>
      </w:r>
    </w:p>
    <w:p>
      <w:pPr>
        <w:pStyle w:val="ListParagraph"/>
        <w:numPr>
          <w:ilvl w:val="0"/>
          <w:numId w:val="2"/>
        </w:numPr>
        <w:spacing w:after="60" w:before="60"/>
      </w:pPr>
      <w:r>
        <w:rPr>
          <w:rFonts w:ascii="Arial" w:cs="Arial" w:eastAsia="Arial" w:hAnsi="Arial"/>
          <w:sz w:val="22"/>
          <w:szCs w:val="22"/>
        </w:rPr>
        <w:t xml:space="preserve">Success criterion: &gt;70% sensitivity for elevated-risk periods with &lt;20% false positive rate</w:t>
      </w:r>
    </w:p>
    <w:p>
      <w:pPr>
        <w:pStyle w:val="ListParagraph"/>
        <w:numPr>
          <w:ilvl w:val="0"/>
          <w:numId w:val="2"/>
        </w:numPr>
        <w:spacing w:after="60" w:before="60"/>
      </w:pPr>
      <w:r>
        <w:rPr>
          <w:rFonts w:ascii="Arial" w:cs="Arial" w:eastAsia="Arial" w:hAnsi="Arial"/>
          <w:sz w:val="22"/>
          <w:szCs w:val="22"/>
        </w:rPr>
        <w:t xml:space="preserve">Falsification: forecast accuracy indistinguishable from baseline seasonal prediction</w:t>
      </w:r>
    </w:p>
    <w:p>
      <w:pPr>
        <w:pStyle w:val="Heading2"/>
        <w:spacing w:after="100" w:before="220"/>
      </w:pPr>
      <w:r>
        <w:rPr>
          <w:rFonts w:ascii="Arial" w:cs="Arial" w:eastAsia="Arial" w:hAnsi="Arial"/>
          <w:b/>
          <w:bCs/>
          <w:color w:val="2E74B5"/>
          <w:sz w:val="24"/>
          <w:szCs w:val="24"/>
        </w:rPr>
        <w:t xml:space="preserve">Experiment 3: Transport-Optimal Battery Electrode Architecture</w:t>
      </w:r>
    </w:p>
    <w:p>
      <w:pPr>
        <w:spacing w:after="100" w:before="100"/>
        <w:jc w:val="both"/>
      </w:pPr>
      <w:r>
        <w:rPr>
          <w:rFonts w:ascii="Arial" w:cs="Arial" w:eastAsia="Arial" w:hAnsi="Arial"/>
          <w:sz w:val="22"/>
          <w:szCs w:val="22"/>
        </w:rPr>
        <w:t xml:space="preserve">Battery electrode design uses the Bruggeman relation and heuristic tortuosity models. Murray’s Law — derived from vascular biology and confirmed for electrochemical systems by Zheng et al. (2017, Nature Communications) — predicts that hierarchical porous architectures with branching ratios r₀/r₁ = N^(1/α), where α lies between 2.0 and 2.5 for Nernst-Planck transport, will outperform random and golden-ratio-scaled controls.</w:t>
      </w:r>
    </w:p>
    <w:p>
      <w:pPr>
        <w:spacing w:after="80" w:before="80"/>
      </w:pPr>
      <w:r>
        <w:t xml:space="preserve"/>
      </w:r>
    </w:p>
    <w:p>
      <w:pPr>
        <w:spacing w:after="100" w:before="100"/>
        <w:jc w:val="both"/>
      </w:pPr>
      <w:r>
        <w:rPr>
          <w:rFonts w:ascii="Arial" w:cs="Arial" w:eastAsia="Arial" w:hAnsi="Arial"/>
          <w:sz w:val="22"/>
          <w:szCs w:val="22"/>
        </w:rPr>
        <w:t xml:space="preserve">The excluded variable is transport-regime-optimal branching geometry. The experiment: fabricate three electrode architectures — random porosity control, golden-ratio-scaled, and Murray-optimal (α=2.3, N=6) — using identical materials and test under identical cycling protocols at 1C, 3C, and 5C discharge rates.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Cost: under $150,000 in materials and fabrication</w:t>
      </w:r>
    </w:p>
    <w:p>
      <w:pPr>
        <w:pStyle w:val="ListParagraph"/>
        <w:numPr>
          <w:ilvl w:val="0"/>
          <w:numId w:val="2"/>
        </w:numPr>
        <w:spacing w:after="60" w:before="60"/>
      </w:pPr>
      <w:r>
        <w:rPr>
          <w:rFonts w:ascii="Arial" w:cs="Arial" w:eastAsia="Arial" w:hAnsi="Arial"/>
          <w:sz w:val="22"/>
          <w:szCs w:val="22"/>
        </w:rPr>
        <w:t xml:space="preserve">Timeline: 24 months</w:t>
      </w:r>
    </w:p>
    <w:p>
      <w:pPr>
        <w:pStyle w:val="ListParagraph"/>
        <w:numPr>
          <w:ilvl w:val="0"/>
          <w:numId w:val="2"/>
        </w:numPr>
        <w:spacing w:after="60" w:before="60"/>
      </w:pPr>
      <w:r>
        <w:rPr>
          <w:rFonts w:ascii="Arial" w:cs="Arial" w:eastAsia="Arial" w:hAnsi="Arial"/>
          <w:sz w:val="22"/>
          <w:szCs w:val="22"/>
        </w:rPr>
        <w:t xml:space="preserve">Success criterion: Murray-optimal architecture achieves &gt;20% improvement in cycle life at 5C vs. random control</w:t>
      </w:r>
    </w:p>
    <w:p>
      <w:pPr>
        <w:pStyle w:val="ListParagraph"/>
        <w:numPr>
          <w:ilvl w:val="0"/>
          <w:numId w:val="2"/>
        </w:numPr>
        <w:spacing w:after="60" w:before="60"/>
      </w:pPr>
      <w:r>
        <w:rPr>
          <w:rFonts w:ascii="Arial" w:cs="Arial" w:eastAsia="Arial" w:hAnsi="Arial"/>
          <w:sz w:val="22"/>
          <w:szCs w:val="22"/>
        </w:rPr>
        <w:t xml:space="preserve">Falsification: no significant difference between Murray-optimal and controls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1800"/>
        <w:gridCol w:w="2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Experiment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Success Criterion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Falsification</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ITS (Tinnitus)</w:t>
            </w:r>
          </w:p>
        </w:tc>
        <w:tc>
          <w:tcPr>
            <w:tcW w:type="dxa" w:w="16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&lt;$50,000</w:t>
            </w:r>
          </w:p>
        </w:tc>
        <w:tc>
          <w:tcPr>
            <w:tcW w:type="dxa" w:w="1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18 months</w:t>
            </w:r>
          </w:p>
        </w:tc>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Significant treatment response in ITS-positive group</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No difference between groups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Legionella prediction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&lt;$30,000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&gt;70% sensitivity, &lt;20% false positive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Indistinguishable from seasonal baseline</w:t>
            </w:r>
          </w:p>
        </w:tc>
      </w:tr>
      <w:tr>
        <w:tc>
          <w:tcPr>
            <w:tcW w:type="dxa" w:w="24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Murray electrode</w:t>
            </w:r>
          </w:p>
        </w:tc>
        <w:tc>
          <w:tcPr>
            <w:tcW w:type="dxa" w:w="16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&lt;$150,000</w:t>
            </w:r>
          </w:p>
        </w:tc>
        <w:tc>
          <w:tcPr>
            <w:tcW w:type="dxa" w:w="156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24 months</w:t>
            </w:r>
          </w:p>
        </w:tc>
        <w:tc>
          <w:tcPr>
            <w:tcW w:type="dxa" w:w="18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&gt;20% cycle life gain at 5C</w:t>
            </w:r>
          </w:p>
        </w:tc>
        <w:tc>
          <w:tcPr>
            <w:tcW w:type="dxa" w:w="2000"/>
            <w:tcBorders>
              <w:top w:val="single" w:color="CCCCCC" w:sz="1"/>
              <w:left w:val="single" w:color="CCCCCC" w:sz="1"/>
              <w:bottom w:val="single" w:color="CCCCCC" w:sz="1"/>
              <w:right w:val="single" w:color="CCCCCC" w:sz="1"/>
            </w:tcBorders>
            <w:shd w:fill="EEF3F9" w:val="clear"/>
            <w:tcMar>
              <w:top w:type="dxa" w:w="80"/>
              <w:left w:type="dxa" w:w="120"/>
              <w:bottom w:type="dxa" w:w="80"/>
              <w:right w:type="dxa" w:w="120"/>
            </w:tcMar>
          </w:tcPr>
          <w:p>
            <w:r>
              <w:rPr>
                <w:rFonts w:ascii="Arial" w:cs="Arial" w:eastAsia="Arial" w:hAnsi="Arial"/>
                <w:sz w:val="18"/>
                <w:szCs w:val="18"/>
              </w:rPr>
              <w:t xml:space="preserve">No difference vs. controls</w:t>
            </w:r>
          </w:p>
        </w:tc>
      </w:tr>
    </w:tbl>
    <w:p>
      <w:pPr>
        <w:pStyle w:val="Heading1"/>
        <w:spacing w:after="160" w:before="320"/>
      </w:pPr>
      <w:r>
        <w:rPr>
          <w:rFonts w:ascii="Arial" w:cs="Arial" w:eastAsia="Arial" w:hAnsi="Arial"/>
          <w:b/>
          <w:bCs/>
          <w:color w:val="1F3864"/>
          <w:sz w:val="30"/>
          <w:szCs w:val="30"/>
        </w:rPr>
        <w:t xml:space="preserve">Why Now</w:t>
      </w:r>
    </w:p>
    <w:p>
      <w:pPr>
        <w:spacing w:after="100" w:before="100"/>
        <w:jc w:val="both"/>
      </w:pPr>
      <w:r>
        <w:rPr>
          <w:rFonts w:ascii="Arial" w:cs="Arial" w:eastAsia="Arial" w:hAnsi="Arial"/>
          <w:sz w:val="22"/>
          <w:szCs w:val="22"/>
        </w:rPr>
        <w:t xml:space="preserve">Three factors converge in 2026.</w:t>
      </w:r>
    </w:p>
    <w:p>
      <w:pPr>
        <w:spacing w:after="80" w:before="80"/>
      </w:pPr>
      <w:r>
        <w:t xml:space="preserve"/>
      </w:r>
    </w:p>
    <w:p>
      <w:pPr>
        <w:spacing w:after="100" w:before="100"/>
        <w:jc w:val="both"/>
      </w:pPr>
      <w:r>
        <w:rPr>
          <w:rFonts w:ascii="Arial" w:cs="Arial" w:eastAsia="Arial" w:hAnsi="Arial"/>
          <w:sz w:val="22"/>
          <w:szCs w:val="22"/>
        </w:rPr>
        <w:t xml:space="preserve">The technology is ready. Low-cost sensors, open-source instrumentation, and accessible fabrication make all three experiments achievable at under $250,000 combined — a fraction of a standard NIH R01. The experiments do not require new theory. They require permission to test what the literature already implies.</w:t>
      </w:r>
    </w:p>
    <w:p>
      <w:pPr>
        <w:spacing w:after="80" w:before="80"/>
      </w:pPr>
      <w:r>
        <w:t xml:space="preserve"/>
      </w:r>
    </w:p>
    <w:p>
      <w:pPr>
        <w:spacing w:after="100" w:before="100"/>
        <w:jc w:val="both"/>
      </w:pPr>
      <w:r>
        <w:rPr>
          <w:rFonts w:ascii="Arial" w:cs="Arial" w:eastAsia="Arial" w:hAnsi="Arial"/>
          <w:sz w:val="22"/>
          <w:szCs w:val="22"/>
        </w:rPr>
        <w:t xml:space="preserve">The institutional window is open, briefly. Funders like Astera exist precisely because mainstream institutions cannot ask these questions. That window is narrow. The same institutional gravity that excludes variables from models will eventually exclude experiments that test for them.</w:t>
      </w:r>
    </w:p>
    <w:p>
      <w:pPr>
        <w:spacing w:after="80" w:before="80"/>
      </w:pPr>
      <w:r>
        <w:t xml:space="preserve"/>
      </w:r>
    </w:p>
    <w:p>
      <w:pPr>
        <w:spacing w:after="100" w:before="100"/>
        <w:jc w:val="both"/>
      </w:pPr>
      <w:r>
        <w:rPr>
          <w:rFonts w:ascii="Arial" w:cs="Arial" w:eastAsia="Arial" w:hAnsi="Arial"/>
          <w:sz w:val="22"/>
          <w:szCs w:val="22"/>
        </w:rPr>
        <w:t xml:space="preserve">The cost of continued exclusion is measurable. The 2025 Middlesex-London Legionella outbreak is a documented, preventable event. The patients with autoimmune tinnitus receiving no targeted treatment are a documented, countable population. These are not abstract risks. They are present failures with names and addresses.</w:t>
      </w:r>
    </w:p>
    <w:p>
      <w:pPr>
        <w:pBdr>
          <w:bottom w:val="single" w:color="2E74B5" w:sz="6"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Conclusion</w:t>
      </w:r>
    </w:p>
    <w:p>
      <w:pPr>
        <w:spacing w:after="100" w:before="100"/>
        <w:jc w:val="both"/>
      </w:pPr>
      <w:r>
        <w:rPr>
          <w:rFonts w:ascii="Arial" w:cs="Arial" w:eastAsia="Arial" w:hAnsi="Arial"/>
          <w:sz w:val="22"/>
          <w:szCs w:val="22"/>
        </w:rPr>
        <w:t xml:space="preserve">The ant cannot see the mountain. But the ant can choose to look up.</w:t>
      </w:r>
    </w:p>
    <w:p>
      <w:pPr>
        <w:spacing w:after="80" w:before="80"/>
      </w:pPr>
      <w:r>
        <w:t xml:space="preserve"/>
      </w:r>
    </w:p>
    <w:p>
      <w:pPr>
        <w:spacing w:after="100" w:before="100"/>
        <w:jc w:val="both"/>
      </w:pPr>
      <w:r>
        <w:rPr>
          <w:rFonts w:ascii="Arial" w:cs="Arial" w:eastAsia="Arial" w:hAnsi="Arial"/>
          <w:sz w:val="22"/>
          <w:szCs w:val="22"/>
        </w:rPr>
        <w:t xml:space="preserve">The bottleneck in civilizational science is not a missing algorithm or an undiscovered law. It is a permission structure that rewards exclusion and penalizes integration. The three experiments proposed here do not require new physics. They require the institutional courage to test what the existing literature has already suggested.</w:t>
      </w:r>
    </w:p>
    <w:p>
      <w:pPr>
        <w:spacing w:after="80" w:before="80"/>
      </w:pPr>
      <w:r>
        <w:t xml:space="preserve"/>
      </w:r>
    </w:p>
    <w:p>
      <w:pPr>
        <w:spacing w:after="100" w:before="100"/>
        <w:jc w:val="both"/>
      </w:pPr>
      <w:r>
        <w:rPr>
          <w:rFonts w:ascii="Arial" w:cs="Arial" w:eastAsia="Arial" w:hAnsi="Arial"/>
          <w:sz w:val="22"/>
          <w:szCs w:val="22"/>
        </w:rPr>
        <w:t xml:space="preserve">Each experiment is cheap, fast, falsifiable, and directly connected to a documented human cost. Together they test a single hypothesis: that the gap between what our models predict and what our data shows is structured, not random — and that closing it is an engineering problem, not a philosophical one.</w:t>
      </w:r>
    </w:p>
    <w:p>
      <w:pPr>
        <w:spacing w:after="80" w:before="80"/>
      </w:pPr>
      <w:r>
        <w:t xml:space="preserve"/>
      </w:r>
    </w:p>
    <w:p>
      <w:pPr>
        <w:pBdr>
          <w:left w:val="single" w:color="2E74B5" w:sz="12" w:space="8"/>
        </w:pBdr>
        <w:spacing w:after="120" w:before="120"/>
        <w:ind w:left="480"/>
        <w:jc w:val="both"/>
      </w:pPr>
      <w:r>
        <w:rPr>
          <w:rFonts w:ascii="Arial" w:cs="Arial" w:eastAsia="Arial" w:hAnsi="Arial"/>
          <w:i/>
          <w:iCs/>
          <w:color w:val="333333"/>
          <w:sz w:val="22"/>
          <w:szCs w:val="22"/>
        </w:rPr>
        <w:t xml:space="preserve">The flood does not wait for consensus. Build the instrument. Read the wall.</w:t>
      </w:r>
    </w:p>
    <w:p>
      <w:pPr>
        <w:pBdr>
          <w:bottom w:val="single" w:color="2E74B5" w:sz="6" w:space="1"/>
        </w:pBdr>
        <w:spacing w:after="200" w:before="200"/>
      </w:pPr>
      <w:r>
        <w:t xml:space="preserve"/>
      </w:r>
    </w:p>
    <w:p>
      <w:pPr>
        <w:pStyle w:val="Heading1"/>
        <w:spacing w:after="160" w:before="320"/>
      </w:pPr>
      <w:r>
        <w:rPr>
          <w:rFonts w:ascii="Arial" w:cs="Arial" w:eastAsia="Arial" w:hAnsi="Arial"/>
          <w:b/>
          <w:bCs/>
          <w:color w:val="1F3864"/>
          <w:sz w:val="30"/>
          <w:szCs w:val="30"/>
        </w:rPr>
        <w:t xml:space="preserve">References</w:t>
      </w:r>
    </w:p>
    <w:p>
      <w:pPr>
        <w:spacing w:after="60" w:before="60"/>
        <w:ind w:left="360" w:hanging="360"/>
      </w:pPr>
      <w:r>
        <w:rPr>
          <w:rFonts w:ascii="Arial" w:cs="Arial" w:eastAsia="Arial" w:hAnsi="Arial"/>
          <w:color w:val="333333"/>
          <w:sz w:val="18"/>
          <w:szCs w:val="18"/>
        </w:rPr>
        <w:t xml:space="preserve">Bertlich, M. et al. (2017). Etanercept reverses cochlear pericyte constriction.</w:t>
      </w:r>
    </w:p>
    <w:p>
      <w:pPr>
        <w:spacing w:after="60" w:before="60"/>
        <w:ind w:left="360" w:hanging="360"/>
      </w:pPr>
      <w:r>
        <w:rPr>
          <w:rFonts w:ascii="Arial" w:cs="Arial" w:eastAsia="Arial" w:hAnsi="Arial"/>
          <w:color w:val="333333"/>
          <w:sz w:val="18"/>
          <w:szCs w:val="18"/>
        </w:rPr>
        <w:t xml:space="preserve">Carter, J.E. (2026a). Chronic source water quality exceedances in the Grand River watershed. Zenodo. DOI: 10.5281/zenodo.19653415</w:t>
      </w:r>
    </w:p>
    <w:p>
      <w:pPr>
        <w:spacing w:after="60" w:before="60"/>
        <w:ind w:left="360" w:hanging="360"/>
      </w:pPr>
      <w:r>
        <w:rPr>
          <w:rFonts w:ascii="Arial" w:cs="Arial" w:eastAsia="Arial" w:hAnsi="Arial"/>
          <w:color w:val="333333"/>
          <w:sz w:val="18"/>
          <w:szCs w:val="18"/>
        </w:rPr>
        <w:t xml:space="preserve">Carter, J.E. (2026b). The Immunological Tinnitus Subtype (ITS). Zenodo. DOI: 10.5281/zenodo.19654306</w:t>
      </w:r>
    </w:p>
    <w:p>
      <w:pPr>
        <w:spacing w:after="60" w:before="60"/>
        <w:ind w:left="360" w:hanging="360"/>
      </w:pPr>
      <w:r>
        <w:rPr>
          <w:rFonts w:ascii="Arial" w:cs="Arial" w:eastAsia="Arial" w:hAnsi="Arial"/>
          <w:color w:val="333333"/>
          <w:sz w:val="18"/>
          <w:szCs w:val="18"/>
        </w:rPr>
        <w:t xml:space="preserve">Carter, J.E. (2026c). Transport-Regime-Optimal Branching Ratios for Hierarchical Electrode Porosity. Zenodo. DOI: 10.5281/zenodo.20270891</w:t>
      </w:r>
    </w:p>
    <w:p>
      <w:pPr>
        <w:spacing w:after="60" w:before="60"/>
        <w:ind w:left="360" w:hanging="360"/>
      </w:pPr>
      <w:r>
        <w:rPr>
          <w:rFonts w:ascii="Arial" w:cs="Arial" w:eastAsia="Arial" w:hAnsi="Arial"/>
          <w:color w:val="333333"/>
          <w:sz w:val="18"/>
          <w:szCs w:val="18"/>
        </w:rPr>
        <w:t xml:space="preserve">Colella, G. et al. (2020). Sensorineural hearing loss in rheumatoid arthritis: meta-analysis. Rheumatology International.</w:t>
      </w:r>
    </w:p>
    <w:p>
      <w:pPr>
        <w:spacing w:after="60" w:before="60"/>
        <w:ind w:left="360" w:hanging="360"/>
      </w:pPr>
      <w:r>
        <w:rPr>
          <w:rFonts w:ascii="Arial" w:cs="Arial" w:eastAsia="Arial" w:hAnsi="Arial"/>
          <w:color w:val="333333"/>
          <w:sz w:val="18"/>
          <w:szCs w:val="18"/>
        </w:rPr>
        <w:t xml:space="preserve">Murray, C.D. (1926). The physiological principle of minimum work. Journal of General Physiology, 9(6), 835–841.</w:t>
      </w:r>
    </w:p>
    <w:p>
      <w:pPr>
        <w:spacing w:after="60" w:before="60"/>
        <w:ind w:left="360" w:hanging="360"/>
      </w:pPr>
      <w:r>
        <w:rPr>
          <w:rFonts w:ascii="Arial" w:cs="Arial" w:eastAsia="Arial" w:hAnsi="Arial"/>
          <w:color w:val="333333"/>
          <w:sz w:val="18"/>
          <w:szCs w:val="18"/>
        </w:rPr>
        <w:t xml:space="preserve">Opher, M. et al. (2024). A possible direct exposure of the Earth to the cold dense interstellar medium 2–3 Myr ago. Nature Astronomy, 8, 983–990.</w:t>
      </w:r>
    </w:p>
    <w:p>
      <w:pPr>
        <w:spacing w:after="60" w:before="60"/>
        <w:ind w:left="360" w:hanging="360"/>
      </w:pPr>
      <w:r>
        <w:rPr>
          <w:rFonts w:ascii="Arial" w:cs="Arial" w:eastAsia="Arial" w:hAnsi="Arial"/>
          <w:color w:val="333333"/>
          <w:sz w:val="18"/>
          <w:szCs w:val="18"/>
        </w:rPr>
        <w:t xml:space="preserve">Wang, H. et al. (2019). TNF-α mediates tinnitus induction. PLOS Biology.</w:t>
      </w:r>
    </w:p>
    <w:p>
      <w:pPr>
        <w:spacing w:after="60" w:before="60"/>
        <w:ind w:left="360" w:hanging="360"/>
      </w:pPr>
      <w:r>
        <w:rPr>
          <w:rFonts w:ascii="Arial" w:cs="Arial" w:eastAsia="Arial" w:hAnsi="Arial"/>
          <w:color w:val="333333"/>
          <w:sz w:val="18"/>
          <w:szCs w:val="18"/>
        </w:rPr>
        <w:t xml:space="preserve">Zheng, X. et al. (2017). Murray materials for electrochemistry. Nature Communications.</w:t>
      </w:r>
    </w:p>
    <w:p>
      <w:pPr>
        <w:pBdr>
          <w:bottom w:val="single" w:color="2E74B5" w:sz="6" w:space="1"/>
        </w:pBdr>
        <w:spacing w:after="200" w:before="200"/>
      </w:pPr>
      <w:r>
        <w:t xml:space="preserve"/>
      </w:r>
    </w:p>
    <w:p>
      <w:pPr>
        <w:spacing w:after="60" w:before="100"/>
        <w:jc w:val="center"/>
      </w:pPr>
      <w:r>
        <w:rPr>
          <w:rFonts w:ascii="Arial" w:cs="Arial" w:eastAsia="Arial" w:hAnsi="Arial"/>
          <w:i/>
          <w:iCs/>
          <w:color w:val="888888"/>
          <w:sz w:val="18"/>
          <w:szCs w:val="18"/>
        </w:rPr>
        <w:t xml:space="preserve">Posted to Zenodo under CC BY 4.0  •  Public posting precedes Astera submission</w:t>
      </w:r>
    </w:p>
    <w:p>
      <w:pPr>
        <w:spacing w:after="0" w:before="0"/>
        <w:jc w:val="center"/>
      </w:pPr>
      <w:r>
        <w:rPr>
          <w:rFonts w:ascii="Arial" w:cs="Arial" w:eastAsia="Arial" w:hAnsi="Arial"/>
          <w:color w:val="AAAAAA"/>
          <w:sz w:val="18"/>
          <w:szCs w:val="18"/>
        </w:rPr>
        <w:t xml:space="preserve">© 2026 John Ernest Carter — Presignal Inc., Niagara Region, Ontario, Canada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2026-05-18T20:40:14.912Z</dcterms:created>
  <dcterms:modified xsi:type="dcterms:W3CDTF">2026-05-18T20:40:14.927Z</dcterms:modified>
</cp:coreProperties>
</file>

<file path=docProps/custom.xml><?xml version="1.0" encoding="utf-8"?>
<Properties xmlns="http://schemas.openxmlformats.org/officeDocument/2006/custom-properties" xmlns:vt="http://schemas.openxmlformats.org/officeDocument/2006/docPropsVTypes"/>
</file>