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8B0000"/>
          <w:sz w:val="18"/>
          <w:szCs w:val="18"/>
        </w:rPr>
        <w:t xml:space="preserve">PREPRINT — NOT PEER REVIEWED</w:t>
      </w:r>
    </w:p>
    <w:p>
      <w:pPr>
        <w:spacing w:after="80" w:before="0"/>
        <w:jc w:val="center"/>
      </w:pPr>
      <w:r>
        <w:rPr>
          <w:rFonts w:ascii="Arial" w:cs="Arial" w:eastAsia="Arial" w:hAnsi="Arial"/>
          <w:b/>
          <w:bCs/>
          <w:color w:val="1F3864"/>
          <w:sz w:val="32"/>
          <w:szCs w:val="32"/>
        </w:rPr>
        <w:t xml:space="preserve">PRE-SIGNAL INTERFACE SYSTEMS DESIGN</w:t>
      </w:r>
    </w:p>
    <w:p>
      <w:pPr>
        <w:pBdr>
          <w:bottom w:val="single" w:color="2E75B6" w:sz="6" w:space="1"/>
        </w:pBdr>
        <w:spacing w:after="60" w:before="0"/>
        <w:jc w:val="center"/>
      </w:pPr>
      <w:r>
        <w:rPr>
          <w:rFonts w:ascii="Arial" w:cs="Arial" w:eastAsia="Arial" w:hAnsi="Arial"/>
          <w:i/>
          <w:iCs/>
          <w:color w:val="333333"/>
          <w:sz w:val="24"/>
          <w:szCs w:val="24"/>
        </w:rPr>
        <w:t xml:space="preserve">A Functional Architecture for Physical Sensor Integration and Geometric Optimization in Resource-Constrained Computational Nodes</w:t>
      </w:r>
    </w:p>
    <w:p>
      <w:pPr>
        <w:spacing w:after="0" w:before="120"/>
      </w:pPr>
      <w:r>
        <w:t xml:space="preserve"/>
      </w:r>
    </w:p>
    <w:p>
      <w:pPr>
        <w:spacing w:after="80" w:before="80"/>
        <w:jc w:val="center"/>
      </w:pPr>
      <w:r>
        <w:rPr>
          <w:rFonts w:ascii="Arial" w:cs="Arial" w:eastAsia="Arial" w:hAnsi="Arial"/>
          <w:b/>
          <w:bCs/>
          <w:color w:val="000000"/>
          <w:sz w:val="22"/>
          <w:szCs w:val="22"/>
        </w:rPr>
        <w:t xml:space="preserve">Authors: John Ernest Carter and Claude (Presignal Research Initiative)</w:t>
      </w:r>
    </w:p>
    <w:p>
      <w:pPr>
        <w:spacing w:after="80" w:before="80"/>
        <w:jc w:val="center"/>
      </w:pPr>
      <w:r>
        <w:rPr>
          <w:rFonts w:ascii="Arial" w:cs="Arial" w:eastAsia="Arial" w:hAnsi="Arial"/>
          <w:color w:val="2E75B6"/>
          <w:sz w:val="20"/>
          <w:szCs w:val="20"/>
        </w:rPr>
        <w:t xml:space="preserve">ORCID: 0009-0004-1363-304X</w:t>
      </w:r>
    </w:p>
    <w:p>
      <w:pPr>
        <w:spacing w:after="80" w:before="80"/>
        <w:jc w:val="center"/>
      </w:pPr>
      <w:r>
        <w:rPr>
          <w:rFonts w:ascii="Arial" w:cs="Arial" w:eastAsia="Arial" w:hAnsi="Arial"/>
          <w:color w:val="000000"/>
          <w:sz w:val="20"/>
          <w:szCs w:val="20"/>
        </w:rPr>
        <w:t xml:space="preserve">Niagara Region, Ontario, Canada</w:t>
      </w:r>
    </w:p>
    <w:p>
      <w:pPr>
        <w:spacing w:after="80" w:before="80"/>
        <w:jc w:val="center"/>
      </w:pPr>
      <w:r>
        <w:rPr>
          <w:rFonts w:ascii="Arial" w:cs="Arial" w:eastAsia="Arial" w:hAnsi="Arial"/>
          <w:color w:val="000000"/>
          <w:sz w:val="20"/>
          <w:szCs w:val="20"/>
        </w:rPr>
        <w:t xml:space="preserve">Contact: jubecrew@gmail.com</w:t>
      </w:r>
    </w:p>
    <w:p>
      <w:pPr>
        <w:spacing w:after="0" w:before="80"/>
      </w:pPr>
      <w:r>
        <w:t xml:space="preserve"/>
      </w:r>
    </w:p>
    <w:p>
      <w:pPr>
        <w:spacing w:after="80" w:before="80"/>
        <w:jc w:val="center"/>
      </w:pPr>
      <w:r>
        <w:rPr>
          <w:rFonts w:ascii="Arial" w:cs="Arial" w:eastAsia="Arial" w:hAnsi="Arial"/>
          <w:i/>
          <w:iCs/>
          <w:color w:val="555555"/>
          <w:sz w:val="18"/>
          <w:szCs w:val="18"/>
        </w:rPr>
        <w:t xml:space="preserve">Implementation: ether-listen.netlify.app | signalscopex11.netlify.app</w:t>
      </w:r>
    </w:p>
    <w:p>
      <w:pPr>
        <w:spacing w:after="0" w:before="160"/>
      </w:pPr>
      <w:r>
        <w:t xml:space="preserve"/>
      </w:r>
    </w:p>
    <w:p>
      <w:pPr>
        <w:pStyle w:val="Heading1"/>
        <w:spacing w:after="120" w:before="280"/>
      </w:pPr>
      <w:r>
        <w:rPr>
          <w:rFonts w:ascii="Arial" w:cs="Arial" w:eastAsia="Arial" w:hAnsi="Arial"/>
          <w:b/>
          <w:bCs/>
          <w:color w:val="1F3864"/>
          <w:sz w:val="28"/>
          <w:szCs w:val="28"/>
        </w:rPr>
        <w:t xml:space="preserve">Abstract</w:t>
      </w:r>
    </w:p>
    <w:p>
      <w:pPr>
        <w:pBdr>
          <w:left w:val="single" w:color="2E75B6" w:sz="12" w:space="120"/>
        </w:pBdr>
        <w:spacing w:after="160" w:before="80"/>
        <w:ind w:left="360"/>
      </w:pPr>
      <w:r>
        <w:rPr>
          <w:rFonts w:ascii="Arial" w:cs="Arial" w:eastAsia="Arial" w:hAnsi="Arial"/>
          <w:i/>
          <w:iCs/>
          <w:sz w:val="22"/>
          <w:szCs w:val="22"/>
        </w:rPr>
        <w:t xml:space="preserve">This paper introduces a structural design methodology for upgrading low-power digital execution layers from closed stochastic environments to open, space-aware field instrumentation systems. We reject standard algorithmic randomization techniques in software design for mobile field equipment. Instead, we formalize a system wherein localized physical sensor data — specifically three-axis accelerometry, gyroscopic flux, and microphone amplitude — directly controls system execution, string generation, and data optimization layouts. A deployed Progressive Web App (PWA), ETHER v3.0, implements this architecture across consumer-grade mobile hardware without external network dependency. By mapping continuous sensor delta values against a 1,200-word dictionary and triggering output only when environmental thresholds are crossed, the system achieves zero-noise-floor operation: it is silent when the environment is still, and reactive when it is not. This represents a fundamental departure from timer-based or randomly-seeded word generation paradigms prevalent in existing field instrumentation applications.</w:t>
      </w:r>
    </w:p>
    <w:p>
      <w:pPr>
        <w:pStyle w:val="Heading1"/>
        <w:spacing w:after="120" w:before="280"/>
      </w:pPr>
      <w:r>
        <w:rPr>
          <w:rFonts w:ascii="Arial" w:cs="Arial" w:eastAsia="Arial" w:hAnsi="Arial"/>
          <w:b/>
          <w:bCs/>
          <w:color w:val="1F3864"/>
          <w:sz w:val="28"/>
          <w:szCs w:val="28"/>
        </w:rPr>
        <w:t xml:space="preserve">1. Introduction: The Critical Problem of Stochastic Noise</w:t>
      </w:r>
    </w:p>
    <w:p>
      <w:pPr>
        <w:spacing w:after="80" w:before="80"/>
        <w:jc w:val="left"/>
      </w:pPr>
      <w:r>
        <w:rPr>
          <w:rFonts w:ascii="Arial" w:cs="Arial" w:eastAsia="Arial" w:hAnsi="Arial"/>
          <w:color w:val="000000"/>
          <w:sz w:val="22"/>
          <w:szCs w:val="22"/>
        </w:rPr>
        <w:t xml:space="preserve">Traditional consumer field software designed for environmental tracking, localized anomaly monitoring, or interactive simulation relies heavily on internal pseudo-randomization routines (PRNGs). On lower-end computing nodes or applications with restricted processing constraints, these routines generate simulated data outputs that are entirely disconnected from the physical environment. This introduces structural noise, masking true ambient signals.</w:t>
      </w:r>
    </w:p>
    <w:p>
      <w:pPr>
        <w:spacing w:after="80" w:before="80"/>
        <w:jc w:val="left"/>
      </w:pPr>
      <w:r>
        <w:rPr>
          <w:rFonts w:ascii="Arial" w:cs="Arial" w:eastAsia="Arial" w:hAnsi="Arial"/>
          <w:color w:val="000000"/>
          <w:sz w:val="22"/>
          <w:szCs w:val="22"/>
        </w:rPr>
        <w:t xml:space="preserve">To isolate meaningful environmental fluctuations, a software architecture must perform a total logical subtraction: stripping out software-side internal variable generation and replacing it completely with direct physical measurement constraints. The Anti-Randomizer principle at the core of the Presignal model formalizes this substitution as an engineering law rather than a design preference.</w:t>
      </w:r>
    </w:p>
    <w:p>
      <w:pPr>
        <w:spacing w:after="160" w:before="80"/>
        <w:jc w:val="left"/>
      </w:pPr>
      <w:r>
        <w:rPr>
          <w:rFonts w:ascii="Arial" w:cs="Arial" w:eastAsia="Arial" w:hAnsi="Arial"/>
          <w:color w:val="000000"/>
          <w:sz w:val="22"/>
          <w:szCs w:val="22"/>
        </w:rPr>
        <w:t xml:space="preserve">The ETHER application (ether-listen.netlify.app) serves as the working implementation of this principle. It monitors three hardware sensor channels simultaneously — accelerometer, gyroscope, and microphone — and generates output only when the measured delta between a calibrated baseline and live sensor state exceeds a user-configured threshold. The system is silent by default. Signal produces output. Silence produces nothing.</w:t>
      </w:r>
    </w:p>
    <w:p>
      <w:pPr>
        <w:pStyle w:val="Heading1"/>
        <w:spacing w:after="120" w:before="280"/>
      </w:pPr>
      <w:r>
        <w:rPr>
          <w:rFonts w:ascii="Arial" w:cs="Arial" w:eastAsia="Arial" w:hAnsi="Arial"/>
          <w:b/>
          <w:bCs/>
          <w:color w:val="1F3864"/>
          <w:sz w:val="28"/>
          <w:szCs w:val="28"/>
        </w:rPr>
        <w:t xml:space="preserve">2. Sensor-Driven Data Mapping vs. Pseudo-Randomization</w:t>
      </w:r>
    </w:p>
    <w:p>
      <w:pPr>
        <w:pStyle w:val="Heading2"/>
        <w:spacing w:after="80" w:before="200"/>
      </w:pPr>
      <w:r>
        <w:rPr>
          <w:rFonts w:ascii="Arial" w:cs="Arial" w:eastAsia="Arial" w:hAnsi="Arial"/>
          <w:b/>
          <w:bCs/>
          <w:color w:val="2E75B6"/>
          <w:sz w:val="24"/>
          <w:szCs w:val="24"/>
        </w:rPr>
        <w:t xml:space="preserve">2.1 Hardware Channels</w:t>
      </w:r>
    </w:p>
    <w:p>
      <w:pPr>
        <w:spacing w:after="80" w:before="80"/>
        <w:jc w:val="left"/>
      </w:pPr>
      <w:r>
        <w:rPr>
          <w:rFonts w:ascii="Arial" w:cs="Arial" w:eastAsia="Arial" w:hAnsi="Arial"/>
          <w:color w:val="000000"/>
          <w:sz w:val="22"/>
          <w:szCs w:val="22"/>
        </w:rPr>
        <w:t xml:space="preserve">ETHER v3.0 monitors three simultaneous hardware channels on standard consumer mobile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Initial State</w:t>
            </w:r>
          </w:p>
        </w:tc>
      </w:tr>
      <w:tr>
        <w:trPr>
          <w:tblHeader w:val="false"/>
        </w:trP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Three-axis Accelerometer</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 on load</w:t>
            </w:r>
          </w:p>
        </w:tc>
      </w:tr>
      <w:tr>
        <w:trPr>
          <w:tblHeader w:val="false"/>
        </w:trP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GYRO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Three-axis Gyroscope</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 on load</w:t>
            </w:r>
          </w:p>
        </w:tc>
      </w:tr>
      <w:tr>
        <w:trPr>
          <w:tblHeader w:val="false"/>
        </w:trP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Microphone (amplitude)</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 — requires permission</w:t>
            </w:r>
          </w:p>
        </w:tc>
      </w:tr>
    </w:tbl>
    <w:p>
      <w:pPr>
        <w:spacing w:after="0" w:before="120"/>
      </w:pPr>
      <w:r>
        <w:t xml:space="preserve"/>
      </w:r>
    </w:p>
    <w:p>
      <w:pPr>
        <w:pStyle w:val="Heading2"/>
        <w:spacing w:after="80" w:before="200"/>
      </w:pPr>
      <w:r>
        <w:rPr>
          <w:rFonts w:ascii="Arial" w:cs="Arial" w:eastAsia="Arial" w:hAnsi="Arial"/>
          <w:b/>
          <w:bCs/>
          <w:color w:val="2E75B6"/>
          <w:sz w:val="24"/>
          <w:szCs w:val="24"/>
        </w:rPr>
        <w:t xml:space="preserve">2.2 The Anti-Randomizer Law</w:t>
      </w:r>
    </w:p>
    <w:p>
      <w:pPr>
        <w:spacing w:after="80" w:before="80"/>
        <w:jc w:val="left"/>
      </w:pPr>
      <w:r>
        <w:rPr>
          <w:rFonts w:ascii="Arial" w:cs="Arial" w:eastAsia="Arial" w:hAnsi="Arial"/>
          <w:color w:val="000000"/>
          <w:sz w:val="22"/>
          <w:szCs w:val="22"/>
        </w:rPr>
        <w:t xml:space="preserve">A standard PRNG-based implementation selects an index from a word bank using an internal seed — a value generated entirely within the computational environment with no reference to physical state. Under the Presignal model, this seed is replaced with an externally derived environmental measurement.</w:t>
      </w:r>
    </w:p>
    <w:p>
      <w:pPr>
        <w:spacing w:after="80" w:before="80"/>
        <w:jc w:val="left"/>
      </w:pPr>
      <w:r>
        <w:rPr>
          <w:rFonts w:ascii="Arial" w:cs="Arial" w:eastAsia="Arial" w:hAnsi="Arial"/>
          <w:color w:val="000000"/>
          <w:sz w:val="22"/>
          <w:szCs w:val="22"/>
        </w:rPr>
        <w:t xml:space="preserve">The Signal Flux Engine computes a real-time delta between an established session baseline and the live sensor reading across all active channels:</w:t>
      </w:r>
    </w:p>
    <w:p>
      <w:pPr>
        <w:spacing w:after="120" w:before="120"/>
        <w:jc w:val="center"/>
      </w:pPr>
      <w:r>
        <w:rPr>
          <w:rFonts w:ascii="Courier New" w:cs="Courier New" w:eastAsia="Courier New" w:hAnsi="Courier New"/>
          <w:b/>
          <w:bCs/>
          <w:color w:val="1F3864"/>
          <w:sz w:val="26"/>
          <w:szCs w:val="26"/>
        </w:rPr>
        <w:t xml:space="preserve">Δ|S| = |S_live| − |S_baseline|</w:t>
      </w:r>
    </w:p>
    <w:p>
      <w:pPr>
        <w:spacing w:after="80" w:before="80"/>
        <w:jc w:val="left"/>
      </w:pPr>
      <w:r>
        <w:rPr>
          <w:rFonts w:ascii="Arial" w:cs="Arial" w:eastAsia="Arial" w:hAnsi="Arial"/>
          <w:color w:val="000000"/>
          <w:sz w:val="22"/>
          <w:szCs w:val="22"/>
        </w:rPr>
        <w:t xml:space="preserve">Where S represents the composite sensor state vector. A word is selected from the 1,200-entry dictionary only when Δ|S| exceeds the configured sensitivity threshold. This eliminates the generation of spurious output during environmental quiescence — the system's default state is AWAITING SIGNAL.</w:t>
      </w:r>
    </w:p>
    <w:p>
      <w:pPr>
        <w:spacing w:after="160" w:before="80"/>
        <w:jc w:val="left"/>
      </w:pPr>
      <w:r>
        <w:rPr>
          <w:rFonts w:ascii="Arial" w:cs="Arial" w:eastAsia="Arial" w:hAnsi="Arial"/>
          <w:color w:val="000000"/>
          <w:sz w:val="22"/>
          <w:szCs w:val="22"/>
        </w:rPr>
        <w:t xml:space="preserve">Because the output is mathematically tied to spatial fluctuations in the immediate physical surroundings of the device hardware, the system transitions from a closed mathematical loop to an open environmental sensor node. Text generation is bound to localized physical space.</w:t>
      </w:r>
    </w:p>
    <w:p>
      <w:pPr>
        <w:pStyle w:val="Heading1"/>
        <w:spacing w:after="120" w:before="280"/>
      </w:pPr>
      <w:r>
        <w:rPr>
          <w:rFonts w:ascii="Arial" w:cs="Arial" w:eastAsia="Arial" w:hAnsi="Arial"/>
          <w:b/>
          <w:bCs/>
          <w:color w:val="1F3864"/>
          <w:sz w:val="28"/>
          <w:szCs w:val="28"/>
        </w:rPr>
        <w:t xml:space="preserve">3. Tunable Signal Thresholds and Session Management</w:t>
      </w:r>
    </w:p>
    <w:p>
      <w:pPr>
        <w:spacing w:after="80" w:before="80"/>
        <w:jc w:val="left"/>
      </w:pPr>
      <w:r>
        <w:rPr>
          <w:rFonts w:ascii="Arial" w:cs="Arial" w:eastAsia="Arial" w:hAnsi="Arial"/>
          <w:color w:val="000000"/>
          <w:sz w:val="22"/>
          <w:szCs w:val="22"/>
        </w:rPr>
        <w:t xml:space="preserve">All five signal parameters are user-configurable in real time via the Tune panel, allowing field operators to calibrate sensitivity to environmental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rPr>
          <w:tblHeader w:val="false"/>
        </w:trP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Motion Sensitivity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Accelerometer threshold before trigger</w:t>
            </w:r>
          </w:p>
        </w:tc>
      </w:tr>
      <w:tr>
        <w:trPr>
          <w:tblHeader w:val="false"/>
        </w:trP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Gyro Sensitivity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Gyroscope threshold before trigger</w:t>
            </w:r>
          </w:p>
        </w:tc>
      </w:tr>
      <w:tr>
        <w:trPr>
          <w:tblHeader w:val="false"/>
        </w:trP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 Threshold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Microphone amplitude before trigger</w:t>
            </w:r>
          </w:p>
        </w:tc>
      </w:tr>
      <w:tr>
        <w:trPr>
          <w:tblHeader w:val="false"/>
        </w:trP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Speed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rate once triggered</w:t>
            </w:r>
          </w:p>
        </w:tc>
      </w:tr>
      <w:tr>
        <w:trPr>
          <w:tblHeader w:val="false"/>
        </w:trP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Cooldown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seconds</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Minimum gap between word outputs</w:t>
            </w:r>
          </w:p>
        </w:tc>
      </w:tr>
    </w:tbl>
    <w:p>
      <w:pPr>
        <w:spacing w:after="0" w:before="120"/>
      </w:pPr>
      <w:r>
        <w:t xml:space="preserve"/>
      </w:r>
    </w:p>
    <w:p>
      <w:pPr>
        <w:spacing w:after="160" w:before="80"/>
        <w:jc w:val="left"/>
      </w:pPr>
      <w:r>
        <w:rPr>
          <w:rFonts w:ascii="Arial" w:cs="Arial" w:eastAsia="Arial" w:hAnsi="Arial"/>
          <w:color w:val="000000"/>
          <w:sz w:val="22"/>
          <w:szCs w:val="22"/>
        </w:rPr>
        <w:t xml:space="preserve">Session management provides a persistent record of all signal events within a session, including timestamps. The full session log is exportable via the Export function. This enables post-session analysis of signal event timing and correlation with environmental conditions documented by field investigators.</w:t>
      </w:r>
    </w:p>
    <w:p>
      <w:pPr>
        <w:pStyle w:val="Heading1"/>
        <w:spacing w:after="120" w:before="280"/>
      </w:pPr>
      <w:r>
        <w:rPr>
          <w:rFonts w:ascii="Arial" w:cs="Arial" w:eastAsia="Arial" w:hAnsi="Arial"/>
          <w:b/>
          <w:bCs/>
          <w:color w:val="1F3864"/>
          <w:sz w:val="28"/>
          <w:szCs w:val="28"/>
        </w:rPr>
        <w:t xml:space="preserve">4. Geometric Optimization via Isoperimetric Hexagonal Networks</w:t>
      </w:r>
    </w:p>
    <w:p>
      <w:pPr>
        <w:spacing w:after="80" w:before="80"/>
        <w:jc w:val="left"/>
      </w:pPr>
      <w:r>
        <w:rPr>
          <w:rFonts w:ascii="Arial" w:cs="Arial" w:eastAsia="Arial" w:hAnsi="Arial"/>
          <w:color w:val="000000"/>
          <w:sz w:val="22"/>
          <w:szCs w:val="22"/>
        </w:rPr>
        <w:t xml:space="preserve">Low-constraint computing systems frequently suffer from data processing bottlenecks when rendering complex tracking interfaces or navigating deep relational datasets. To address this, the system interface is structured as an interconnected hexagonal grid.</w:t>
      </w:r>
    </w:p>
    <w:p>
      <w:pPr>
        <w:spacing w:after="80" w:before="80"/>
        <w:jc w:val="left"/>
      </w:pPr>
      <w:r>
        <w:rPr>
          <w:rFonts w:ascii="Arial" w:cs="Arial" w:eastAsia="Arial" w:hAnsi="Arial"/>
          <w:color w:val="000000"/>
          <w:sz w:val="22"/>
          <w:szCs w:val="22"/>
        </w:rPr>
        <w:t xml:space="preserve">The hexagon is the optimal geometric shape for two-dimensional space-filling tessellation. It fulfills the isoperimetric property: it encloses a given surface area using the minimum total perimeter length. By organizing the software's functional modules and data repositories into a hexagonal grid structure, computational pathways are shortened relative to linear array or rectangular matrix equivalents.</w:t>
      </w:r>
    </w:p>
    <w:p>
      <w:pPr>
        <w:spacing w:after="160" w:before="80"/>
        <w:jc w:val="left"/>
      </w:pPr>
      <w:r>
        <w:rPr>
          <w:rFonts w:ascii="Arial" w:cs="Arial" w:eastAsia="Arial" w:hAnsi="Arial"/>
          <w:color w:val="000000"/>
          <w:sz w:val="22"/>
          <w:szCs w:val="22"/>
        </w:rPr>
        <w:t xml:space="preserve">Data rows are structurally offset by exactly half the node width. Each node maintains equidistant contact with six surrounding data paths. This eliminates the processing overhead common to unoptimized database tables and reduces pathway distances between adjacent datasets.</w:t>
      </w:r>
    </w:p>
    <w:p>
      <w:pPr>
        <w:pStyle w:val="Heading1"/>
        <w:spacing w:after="120" w:before="280"/>
      </w:pPr>
      <w:r>
        <w:rPr>
          <w:rFonts w:ascii="Arial" w:cs="Arial" w:eastAsia="Arial" w:hAnsi="Arial"/>
          <w:b/>
          <w:bCs/>
          <w:color w:val="1F3864"/>
          <w:sz w:val="28"/>
          <w:szCs w:val="28"/>
        </w:rPr>
        <w:t xml:space="preserve">5. Field Intertwining: Unified Sensor-Narrative State Space</w:t>
      </w:r>
    </w:p>
    <w:p>
      <w:pPr>
        <w:spacing w:after="80" w:before="80"/>
        <w:jc w:val="left"/>
      </w:pPr>
      <w:r>
        <w:rPr>
          <w:rFonts w:ascii="Arial" w:cs="Arial" w:eastAsia="Arial" w:hAnsi="Arial"/>
          <w:color w:val="000000"/>
          <w:sz w:val="22"/>
          <w:szCs w:val="22"/>
        </w:rPr>
        <w:t xml:space="preserve">Field investigations often require extended periods of background monitoring. To preserve system efficiency and maintain operator engagement without loading secondary memory-intensive applications, the ETHER framework integrates text-based interaction logic directly into the primary sensor loop.</w:t>
      </w:r>
    </w:p>
    <w:p>
      <w:pPr>
        <w:spacing w:after="80" w:before="80"/>
        <w:jc w:val="left"/>
      </w:pPr>
      <w:r>
        <w:rPr>
          <w:rFonts w:ascii="Arial" w:cs="Arial" w:eastAsia="Arial" w:hAnsi="Arial"/>
          <w:color w:val="000000"/>
          <w:sz w:val="22"/>
          <w:szCs w:val="22"/>
        </w:rPr>
        <w:t xml:space="preserve">The application functions as a unified state-space machine. The sensor stream is the state machine — not an input to a virtual world, but the operational variable governing system behavior. When a physical change occurs — an abrupt device reorientation via the gyroscope, a localized spike in ambient sound, or accelerometer displacement — the delta value acts as a structural trigger, altering the state of the running interface in real time.</w:t>
      </w:r>
    </w:p>
    <w:p>
      <w:pPr>
        <w:spacing w:after="160" w:before="80"/>
        <w:jc w:val="left"/>
      </w:pPr>
      <w:r>
        <w:rPr>
          <w:rFonts w:ascii="Arial" w:cs="Arial" w:eastAsia="Arial" w:hAnsi="Arial"/>
          <w:color w:val="000000"/>
          <w:sz w:val="22"/>
          <w:szCs w:val="22"/>
        </w:rPr>
        <w:t xml:space="preserve">This inverts the standard model of mobile sensing applications, which treat sensors as inputs to a software-defined virtual environment. Under the Presignal architecture, the physical environment is the controller. The device is a receiver, not a generator.</w:t>
      </w:r>
    </w:p>
    <w:p>
      <w:pPr>
        <w:pStyle w:val="Heading1"/>
        <w:spacing w:after="120" w:before="280"/>
      </w:pPr>
      <w:r>
        <w:rPr>
          <w:rFonts w:ascii="Arial" w:cs="Arial" w:eastAsia="Arial" w:hAnsi="Arial"/>
          <w:b/>
          <w:bCs/>
          <w:color w:val="1F3864"/>
          <w:sz w:val="28"/>
          <w:szCs w:val="28"/>
        </w:rPr>
        <w:t xml:space="preserve">6. Comparative Analysis: ETHER vs. Existing Spirit Box Applications</w:t>
      </w:r>
    </w:p>
    <w:p>
      <w:pPr>
        <w:spacing w:after="100" w:before="80"/>
        <w:jc w:val="left"/>
      </w:pPr>
      <w:r>
        <w:rPr>
          <w:rFonts w:ascii="Arial" w:cs="Arial" w:eastAsia="Arial" w:hAnsi="Arial"/>
          <w:color w:val="000000"/>
          <w:sz w:val="22"/>
          <w:szCs w:val="22"/>
        </w:rPr>
        <w:t xml:space="preserve">Table 1 provides a direct feature comparison between ETHER v3.0 and the category of existing spirit box and EMF monitoring applications available on consumer platforms:</w:t>
      </w:r>
    </w:p>
    <w:p>
      <w:pPr>
        <w:spacing w:after="80" w:before="80"/>
        <w:jc w:val="center"/>
      </w:pPr>
      <w:r>
        <w:rPr>
          <w:rFonts w:ascii="Arial" w:cs="Arial" w:eastAsia="Arial" w:hAnsi="Arial"/>
          <w:b/>
          <w:bCs/>
          <w:color w:val="555555"/>
          <w:sz w:val="20"/>
          <w:szCs w:val="20"/>
        </w:rPr>
        <w:t xml:space="preserve">Table 1: Feature Comparison — ETHER v3.0 vs. Typical Spirit Box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ETHER v3.0</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Spirit Box App</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Word generation 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1A"/>
                <w:sz w:val="20"/>
                <w:szCs w:val="20"/>
              </w:rPr>
              <w:t xml:space="preserve">Sensor-driven delta (Δ|S|)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Random / timer-based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Hardware utilised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1A"/>
                <w:sz w:val="20"/>
                <w:szCs w:val="20"/>
              </w:rPr>
              <w:t xml:space="preserve">Accelerometer + Gyro + Mic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None or audio sweep only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Silent when environment is still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1A"/>
                <w:sz w:val="20"/>
                <w:szCs w:val="20"/>
              </w:rPr>
              <w:t xml:space="preserve">✔ Yes — default 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 No — continuous output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Tunable sensitivity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1A"/>
                <w:sz w:val="20"/>
                <w:szCs w:val="20"/>
              </w:rPr>
              <w:t xml:space="preserve">✔ Five parameters, real-time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 No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Session logging +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1A"/>
                <w:sz w:val="20"/>
                <w:szCs w:val="20"/>
              </w:rPr>
              <w:t xml:space="preserve">✔ Yes, timestamped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 Rarely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 leaves device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1A"/>
                <w:sz w:val="20"/>
                <w:szCs w:val="20"/>
              </w:rPr>
              <w:t xml:space="preserve">✖ Never — fully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Often unknown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PWA installable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1A"/>
                <w:sz w:val="20"/>
                <w:szCs w:val="20"/>
              </w:rPr>
              <w:t xml:space="preserve">✔ No app store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 No</w:t>
            </w:r>
          </w:p>
        </w:tc>
      </w:tr>
    </w:tbl>
    <w:p>
      <w:pPr>
        <w:spacing w:after="0" w:before="160"/>
      </w:pPr>
      <w:r>
        <w:t xml:space="preserve"/>
      </w:r>
    </w:p>
    <w:p>
      <w:pPr>
        <w:pStyle w:val="Heading1"/>
        <w:spacing w:after="120" w:before="280"/>
      </w:pPr>
      <w:r>
        <w:rPr>
          <w:rFonts w:ascii="Arial" w:cs="Arial" w:eastAsia="Arial" w:hAnsi="Arial"/>
          <w:b/>
          <w:bCs/>
          <w:color w:val="1F3864"/>
          <w:sz w:val="28"/>
          <w:szCs w:val="28"/>
        </w:rPr>
        <w:t xml:space="preserve">7. Conclusion and Data Assurance Standards</w:t>
      </w:r>
    </w:p>
    <w:p>
      <w:pPr>
        <w:spacing w:after="80" w:before="80"/>
        <w:jc w:val="left"/>
      </w:pPr>
      <w:r>
        <w:rPr>
          <w:rFonts w:ascii="Arial" w:cs="Arial" w:eastAsia="Arial" w:hAnsi="Arial"/>
          <w:color w:val="000000"/>
          <w:sz w:val="22"/>
          <w:szCs w:val="22"/>
        </w:rPr>
        <w:t xml:space="preserve">By combining physical sensor mapping, configurable signal thresholds, real-time baseline delta tracking, and local session logging, ETHER achieves operational independence from external network infrastructure. The entire system executes within the local memory architecture of the mobile device.</w:t>
      </w:r>
    </w:p>
    <w:p>
      <w:pPr>
        <w:spacing w:after="80" w:before="80"/>
        <w:jc w:val="left"/>
      </w:pPr>
      <w:r>
        <w:rPr>
          <w:rFonts w:ascii="Arial" w:cs="Arial" w:eastAsia="Arial" w:hAnsi="Arial"/>
          <w:color w:val="000000"/>
          <w:sz w:val="22"/>
          <w:szCs w:val="22"/>
        </w:rPr>
        <w:t xml:space="preserve">This architecture provides three primary assurances:</w:t>
      </w:r>
    </w:p>
    <w:p>
      <w:pPr>
        <w:pStyle w:val="ListParagraph"/>
        <w:numPr>
          <w:ilvl w:val="0"/>
          <w:numId w:val="2"/>
        </w:numPr>
        <w:spacing w:after="40" w:before="40"/>
      </w:pPr>
      <w:r>
        <w:rPr>
          <w:rFonts w:ascii="Arial" w:cs="Arial" w:eastAsia="Arial" w:hAnsi="Arial"/>
          <w:sz w:val="22"/>
          <w:szCs w:val="22"/>
        </w:rPr>
        <w:t xml:space="preserve">Total data privacy: no sensor data is transmitted to external servers at any point.</w:t>
      </w:r>
    </w:p>
    <w:p>
      <w:pPr>
        <w:pStyle w:val="ListParagraph"/>
        <w:numPr>
          <w:ilvl w:val="0"/>
          <w:numId w:val="2"/>
        </w:numPr>
        <w:spacing w:after="40" w:before="40"/>
      </w:pPr>
      <w:r>
        <w:rPr>
          <w:rFonts w:ascii="Arial" w:cs="Arial" w:eastAsia="Arial" w:hAnsi="Arial"/>
          <w:sz w:val="22"/>
          <w:szCs w:val="22"/>
        </w:rPr>
        <w:t xml:space="preserve">Zero transmission latency: output is a function of local hardware state, not network round-trip time.</w:t>
      </w:r>
    </w:p>
    <w:p>
      <w:pPr>
        <w:pStyle w:val="ListParagraph"/>
        <w:numPr>
          <w:ilvl w:val="0"/>
          <w:numId w:val="2"/>
        </w:numPr>
        <w:spacing w:after="40" w:before="40"/>
      </w:pPr>
      <w:r>
        <w:rPr>
          <w:rFonts w:ascii="Arial" w:cs="Arial" w:eastAsia="Arial" w:hAnsi="Arial"/>
          <w:sz w:val="22"/>
          <w:szCs w:val="22"/>
        </w:rPr>
        <w:t xml:space="preserve">Environmental objectivity: word selection is mathematically determined by physical conditions, not software-generated pseudo-randomness.</w:t>
      </w:r>
    </w:p>
    <w:p>
      <w:pPr>
        <w:spacing w:after="0" w:before="80"/>
      </w:pPr>
      <w:r>
        <w:t xml:space="preserve"/>
      </w:r>
    </w:p>
    <w:p>
      <w:pPr>
        <w:spacing w:after="160" w:before="80"/>
        <w:jc w:val="left"/>
      </w:pPr>
      <w:r>
        <w:rPr>
          <w:rFonts w:ascii="Arial" w:cs="Arial" w:eastAsia="Arial" w:hAnsi="Arial"/>
          <w:color w:val="000000"/>
          <w:sz w:val="22"/>
          <w:szCs w:val="22"/>
        </w:rPr>
        <w:t xml:space="preserve">The result is that standard consumer mobile hardware becomes an objective, self-contained scientific field instrument. The Presignal model represents a foundational architectural shift: from devices that simulate environments to devices that measure them.</w:t>
      </w:r>
    </w:p>
    <w:p>
      <w:pPr>
        <w:pStyle w:val="Heading1"/>
        <w:spacing w:after="120" w:before="280"/>
      </w:pPr>
      <w:r>
        <w:rPr>
          <w:rFonts w:ascii="Arial" w:cs="Arial" w:eastAsia="Arial" w:hAnsi="Arial"/>
          <w:b/>
          <w:bCs/>
          <w:color w:val="1F3864"/>
          <w:sz w:val="28"/>
          <w:szCs w:val="28"/>
        </w:rPr>
        <w:t xml:space="preserve">References and Implementation</w:t>
      </w:r>
    </w:p>
    <w:p>
      <w:pPr>
        <w:spacing w:after="60" w:before="60"/>
        <w:jc w:val="left"/>
      </w:pPr>
      <w:r>
        <w:rPr>
          <w:rFonts w:ascii="Arial" w:cs="Arial" w:eastAsia="Arial" w:hAnsi="Arial"/>
          <w:color w:val="000000"/>
          <w:sz w:val="20"/>
          <w:szCs w:val="20"/>
        </w:rPr>
        <w:t xml:space="preserve">Carter, J.E. (2026). Pre-Signal Interface Systems Design [Preprint]. Presignal Research Initiative. ORCID: 0009-0004-1363-304X</w:t>
      </w:r>
    </w:p>
    <w:p>
      <w:pPr>
        <w:spacing w:after="60" w:before="60"/>
        <w:jc w:val="left"/>
      </w:pPr>
      <w:r>
        <w:rPr>
          <w:rFonts w:ascii="Arial" w:cs="Arial" w:eastAsia="Arial" w:hAnsi="Arial"/>
          <w:color w:val="000000"/>
          <w:sz w:val="20"/>
          <w:szCs w:val="20"/>
        </w:rPr>
        <w:t xml:space="preserve">ETHER v3.0 — EMF Spirit Communication Array. Progressive Web App. ether-listen.netlify.app</w:t>
      </w:r>
    </w:p>
    <w:p>
      <w:pPr>
        <w:spacing w:after="60" w:before="60"/>
        <w:jc w:val="left"/>
      </w:pPr>
      <w:r>
        <w:rPr>
          <w:rFonts w:ascii="Arial" w:cs="Arial" w:eastAsia="Arial" w:hAnsi="Arial"/>
          <w:color w:val="000000"/>
          <w:sz w:val="20"/>
          <w:szCs w:val="20"/>
        </w:rPr>
        <w:t xml:space="preserve">Signal Scope MK III — CRT Field Radar System. Progressive Web App. signalscopex11.netlify.app</w:t>
      </w:r>
    </w:p>
    <w:p>
      <w:pPr>
        <w:spacing w:after="60" w:before="60"/>
        <w:jc w:val="left"/>
      </w:pPr>
      <w:r>
        <w:rPr>
          <w:rFonts w:ascii="Arial" w:cs="Arial" w:eastAsia="Arial" w:hAnsi="Arial"/>
          <w:color w:val="000000"/>
          <w:sz w:val="20"/>
          <w:szCs w:val="20"/>
        </w:rPr>
        <w:t xml:space="preserve">Presignal Research Initiative Portfolio. Zenodo. ORCID: 0009-0004-1363-304X. https://orcid.org/0009-0004-1363-304X</w:t>
      </w:r>
    </w:p>
    <w:p>
      <w:pPr>
        <w:spacing w:after="0" w:before="160"/>
      </w:pPr>
      <w:r>
        <w:t xml:space="preserve"/>
      </w:r>
    </w:p>
    <w:p>
      <w:pPr>
        <w:pBdr>
          <w:top w:val="single" w:color="2E75B6" w:sz="4" w:space="1"/>
          <w:bottom w:val="single" w:color="2E75B6" w:sz="4" w:space="1"/>
        </w:pBdr>
        <w:spacing w:after="80" w:before="80"/>
      </w:pPr>
      <w:r>
        <w:rPr>
          <w:rFonts w:ascii="Arial" w:cs="Arial" w:eastAsia="Arial" w:hAnsi="Arial"/>
          <w:i/>
          <w:iCs/>
          <w:color w:val="444444"/>
          <w:sz w:val="18"/>
          <w:szCs w:val="18"/>
        </w:rPr>
        <w:t xml:space="preserve">Declaration: All sensor processing occurs locally on the user's device. No data is transmitted externally. This preprint has not undergone formal peer review. The ETHER application is live and publicly accessible at ether-listen.netlify.app. Authors: John Ernest Carter and Claude (Presignal Research Initiative, Niagara Region, Ontario, Canada). Contact: jubecrew@gmail.com</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666666"/>
        <w:sz w:val="18"/>
        <w:szCs w:val="18"/>
      </w:rPr>
      <w:t xml:space="preserve">Carter, J.E. | Presignal Research Initiative | ETHER Preprint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2026-05-19T01:01:57.004Z</dcterms:created>
  <dcterms:modified xsi:type="dcterms:W3CDTF">2026-05-19T01:01:57.004Z</dcterms:modified>
</cp:coreProperties>
</file>

<file path=docProps/custom.xml><?xml version="1.0" encoding="utf-8"?>
<Properties xmlns="http://schemas.openxmlformats.org/officeDocument/2006/custom-properties" xmlns:vt="http://schemas.openxmlformats.org/officeDocument/2006/docPropsVTypes"/>
</file>