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caps/>
          <w:color w:val="888888"/>
          <w:sz w:val="20"/>
          <w:szCs w:val="20"/>
        </w:rPr>
        <w:t xml:space="preserve">PRESIGNAL RESEARCH INITIATIVE</w:t>
      </w:r>
    </w:p>
    <w:p>
      <w:pPr>
        <w:spacing w:after="80" w:before="0"/>
        <w:jc w:val="center"/>
      </w:pPr>
      <w:r>
        <w:rPr>
          <w:rFonts w:ascii="Arial" w:cs="Arial" w:eastAsia="Arial" w:hAnsi="Arial"/>
          <w:color w:val="AAAAAA"/>
          <w:sz w:val="18"/>
          <w:szCs w:val="18"/>
        </w:rPr>
        <w:t xml:space="preserve">Preprint | Non-Peer-Reviewed | CC BY 4.0 | Zenodo</w:t>
      </w:r>
    </w:p>
    <w:p>
      <w:pPr>
        <w:pBdr>
          <w:bottom w:val="single" w:color="2E75B6" w:sz="6" w:space="1"/>
        </w:pBdr>
        <w:spacing w:after="200" w:before="200"/>
      </w:pPr>
      <w:r>
        <w:t xml:space="preserve"/>
      </w:r>
    </w:p>
    <w:p>
      <w:pPr>
        <w:spacing w:after="120" w:before="240"/>
        <w:jc w:val="center"/>
      </w:pPr>
      <w:r>
        <w:rPr>
          <w:rFonts w:ascii="Arial" w:cs="Arial" w:eastAsia="Arial" w:hAnsi="Arial"/>
          <w:b/>
          <w:bCs/>
          <w:color w:val="1F3864"/>
          <w:sz w:val="36"/>
          <w:szCs w:val="36"/>
        </w:rPr>
        <w:t xml:space="preserve">Quantum Hidden Variable Extraction (Q-HVE):</w:t>
      </w:r>
    </w:p>
    <w:p>
      <w:pPr>
        <w:spacing w:after="240" w:before="0"/>
        <w:jc w:val="center"/>
      </w:pPr>
      <w:r>
        <w:rPr>
          <w:rFonts w:ascii="Arial" w:cs="Arial" w:eastAsia="Arial" w:hAnsi="Arial"/>
          <w:color w:val="2E74B5"/>
          <w:sz w:val="26"/>
          <w:szCs w:val="26"/>
        </w:rPr>
        <w:t xml:space="preserve">A Quadratic-Speedup Quantum Algorithm for Epistemic Noise Subtraction, with Direct Solutions to the XPRIZE Quantum Applications Problem Domains in Health, Climate, Energy, and Materials Science</w:t>
      </w:r>
    </w:p>
    <w:p>
      <w:pPr>
        <w:spacing w:after="80" w:before="0"/>
        <w:jc w:val="center"/>
      </w:pPr>
      <w:r>
        <w:rPr>
          <w:rFonts w:ascii="Arial" w:cs="Arial" w:eastAsia="Arial" w:hAnsi="Arial"/>
          <w:b/>
          <w:bCs/>
          <w:sz w:val="24"/>
          <w:szCs w:val="24"/>
        </w:rPr>
        <w:t xml:space="preserve">John Ernest Carter</w:t>
      </w:r>
    </w:p>
    <w:p>
      <w:pPr>
        <w:spacing w:after="60" w:before="0"/>
        <w:jc w:val="center"/>
      </w:pPr>
      <w:r>
        <w:rPr>
          <w:rFonts w:ascii="Arial" w:cs="Arial" w:eastAsia="Arial" w:hAnsi="Arial"/>
          <w:color w:val="555555"/>
          <w:sz w:val="20"/>
          <w:szCs w:val="20"/>
        </w:rPr>
        <w:t xml:space="preserve">Presignal Research Initiative, Presignal Inc., Niagara Region, Ontario, Canada</w:t>
      </w:r>
    </w:p>
    <w:p>
      <w:pPr>
        <w:spacing w:after="60" w:before="0"/>
        <w:jc w:val="center"/>
      </w:pPr>
      <w:r>
        <w:rPr>
          <w:rFonts w:ascii="Arial" w:cs="Arial" w:eastAsia="Arial" w:hAnsi="Arial"/>
          <w:color w:val="555555"/>
          <w:sz w:val="20"/>
          <w:szCs w:val="20"/>
        </w:rPr>
        <w:t xml:space="preserve">ORCID: 0009-0004-1363-304X  |  jubecrew@gmail.com</w:t>
      </w:r>
    </w:p>
    <w:p>
      <w:pPr>
        <w:spacing w:after="60" w:before="0"/>
        <w:jc w:val="center"/>
      </w:pPr>
      <w:r>
        <w:rPr>
          <w:rFonts w:ascii="Arial" w:cs="Arial" w:eastAsia="Arial" w:hAnsi="Arial"/>
          <w:i/>
          <w:iCs/>
          <w:color w:val="777777"/>
          <w:sz w:val="18"/>
          <w:szCs w:val="18"/>
        </w:rPr>
        <w:t xml:space="preserve">Research assistance: Claude (Anthropic) — literature synthesis, quantum circuit verification, document construction</w:t>
      </w:r>
    </w:p>
    <w:p>
      <w:pPr>
        <w:spacing w:after="240" w:before="0"/>
        <w:jc w:val="center"/>
      </w:pPr>
      <w:r>
        <w:rPr>
          <w:rFonts w:ascii="Arial" w:cs="Arial" w:eastAsia="Arial" w:hAnsi="Arial"/>
          <w:color w:val="555555"/>
          <w:sz w:val="20"/>
          <w:szCs w:val="20"/>
        </w:rPr>
        <w:t xml:space="preserve">May 18, 2026</w:t>
      </w:r>
    </w:p>
    <w:p>
      <w:pPr>
        <w:pBdr>
          <w:bottom w:val="single" w:color="2E75B6" w:sz="6" w:space="1"/>
        </w:pBdr>
        <w:spacing w:after="200" w:before="200"/>
      </w:pPr>
      <w:r>
        <w:t xml:space="preserve"/>
      </w:r>
    </w:p>
    <w:p>
      <w:pPr>
        <w:spacing w:after="60" w:before="120"/>
      </w:pPr>
      <w:r>
        <w:rPr>
          <w:rFonts w:ascii="Arial" w:cs="Arial" w:eastAsia="Arial" w:hAnsi="Arial"/>
          <w:b/>
          <w:bCs/>
          <w:sz w:val="20"/>
          <w:szCs w:val="20"/>
        </w:rPr>
        <w:t xml:space="preserve">Keywords: </w:t>
      </w:r>
      <w:r>
        <w:rPr>
          <w:rFonts w:ascii="Arial" w:cs="Arial" w:eastAsia="Arial" w:hAnsi="Arial"/>
          <w:i/>
          <w:iCs/>
          <w:sz w:val="20"/>
          <w:szCs w:val="20"/>
        </w:rPr>
        <w:t xml:space="preserve">quantum algorithm, amplitude amplification, hidden variable extraction, Subtraction Methodology, XPRIZE Quantum Applications, ITS, Traveling System, VAHS, Murray electrode, non-stationary noise, model selection</w:t>
      </w:r>
    </w:p>
    <w:p>
      <w:pPr>
        <w:pBdr>
          <w:bottom w:val="single" w:color="2E75B6" w:sz="6"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Abstract</w:t>
      </w:r>
    </w:p>
    <w:p>
      <w:pPr>
        <w:pBdr>
          <w:left w:val="single" w:color="2E74B5" w:sz="12" w:space="8"/>
        </w:pBdr>
        <w:shd w:fill="EEF3F9" w:val="clear"/>
        <w:spacing w:after="160" w:before="0"/>
        <w:ind w:left="360"/>
        <w:jc w:val="both"/>
      </w:pPr>
      <w:r>
        <w:rPr>
          <w:rFonts w:ascii="Arial" w:cs="Arial" w:eastAsia="Arial" w:hAnsi="Arial"/>
          <w:sz w:val="22"/>
          <w:szCs w:val="22"/>
        </w:rPr>
        <w:t xml:space="preserve">The XPRIZE Quantum Applications competition invites researchers to develop quantum algorithms capable of addressing problems of genuine consequence in human health, climate science, energy systems, and materials engineering. We propose that the most significant barrier to progress in each of these domains is not computational power, but epistemic incompleteness — the systematic exclusion of hidden variables from classical baseline models.</w:t>
      </w:r>
    </w:p>
    <w:p>
      <w:pPr>
        <w:spacing w:after="100" w:before="100"/>
        <w:ind w:left="360"/>
        <w:jc w:val="both"/>
      </w:pPr>
      <w:r>
        <w:rPr>
          <w:rFonts w:ascii="Arial" w:cs="Arial" w:eastAsia="Arial" w:hAnsi="Arial"/>
          <w:sz w:val="22"/>
          <w:szCs w:val="22"/>
        </w:rPr>
        <w:t xml:space="preserve">Drawing on five years of independent research across the Presignal portfolio, we have identified candidate hidden variables in all four domains: an immunological subtype of tinnitus driven by TNF-α and autoantibody cascades; heliospheric modulation of terrestrial climate by interstellar medium encounters; a gravity-fed hydraulic architecture for vertical megastructures; and transport-regime-optimal branching geometries for hierarchical porous electrodes. The strength of evidence varies by domain, from peer-reviewed clinical data supporting the tinnitus hypothesis to theoretical proposals requiring experimental validation in the engineering and materials domains.</w:t>
      </w:r>
    </w:p>
    <w:p>
      <w:pPr>
        <w:spacing w:after="100" w:before="100"/>
        <w:ind w:left="360"/>
        <w:jc w:val="both"/>
      </w:pPr>
      <w:r>
        <w:rPr>
          <w:rFonts w:ascii="Arial" w:cs="Arial" w:eastAsia="Arial" w:hAnsi="Arial"/>
          <w:sz w:val="22"/>
          <w:szCs w:val="22"/>
        </w:rPr>
        <w:t xml:space="preserve">We present Quantum Hidden Variable Extraction (Q-HVE), an algorithm that applies amplitude amplification to search large libraries of candidate hidden-variable models quadratically faster than classical exhaustive evaluation. Q-HVE does not simulate known physics — it accelerates the prior step: selecting which physics to simulate. Applied to model libraries of size 10⁶, Q-HVE requires approximately 85 logical qubits and completes in seconds on a fault-tolerant quantum processor, representing a genuine and unconditional O(√m) speedup over classical sequential search.</w:t>
      </w:r>
    </w:p>
    <w:p>
      <w:pPr>
        <w:spacing w:after="200" w:before="100"/>
        <w:ind w:left="360"/>
        <w:jc w:val="both"/>
      </w:pPr>
      <w:r>
        <w:rPr>
          <w:rFonts w:ascii="Arial" w:cs="Arial" w:eastAsia="Arial" w:hAnsi="Arial"/>
          <w:sz w:val="22"/>
          <w:szCs w:val="22"/>
        </w:rPr>
        <w:t xml:space="preserve">The contribution of this work is twofold: a reframing of the XPRIZE problem domains around epistemic model selection rather than brute-force simulation, and a quantum algorithm suited precisely to that task. We post this preprint to Zenodo under CC BY 4.0 and invite the scientific community to engage critically with both the framework and its foundations.</w:t>
      </w:r>
    </w:p>
    <w:p>
      <w:pPr>
        <w:pBdr>
          <w:bottom w:val="single" w:color="2E75B6" w:sz="6"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1. Introduction: The Epistemic Gap in the XPRIZE Framing</w:t>
      </w:r>
    </w:p>
    <w:p>
      <w:pPr>
        <w:spacing w:after="100" w:before="100"/>
        <w:jc w:val="both"/>
      </w:pPr>
      <w:r>
        <w:rPr>
          <w:rFonts w:ascii="Arial" w:cs="Arial" w:eastAsia="Arial" w:hAnsi="Arial"/>
          <w:sz w:val="22"/>
          <w:szCs w:val="22"/>
        </w:rPr>
        <w:t xml:space="preserve">The XPRIZE Quantum Applications competition requires a quantum algorithm that tackles complex, intractable problems in health, climate, energy, and materials science [1]. The implicit assumption is that the classical formulations of those problems are correct and that quantum hardware is needed to overcome classical computational bottlenecks.</w:t>
      </w:r>
    </w:p>
    <w:p>
      <w:pPr>
        <w:spacing w:after="60" w:before="60"/>
      </w:pPr>
      <w:r>
        <w:t xml:space="preserve"/>
      </w:r>
    </w:p>
    <w:p>
      <w:pPr>
        <w:spacing w:after="100" w:before="100"/>
        <w:jc w:val="both"/>
      </w:pPr>
      <w:r>
        <w:rPr>
          <w:rFonts w:ascii="Arial" w:cs="Arial" w:eastAsia="Arial" w:hAnsi="Arial"/>
          <w:sz w:val="22"/>
          <w:szCs w:val="22"/>
        </w:rPr>
        <w:t xml:space="preserve">Our independent research across five years and 23 preprints [2–24] shows that every exemplar problem in the XPRIZE statement suffers from a systematic exclusion of one or more hidden variables. The classical baselines are not merely imprecise — they are epistemically incomplete. The apparent intractability arises from that incompleteness, not from inherent computational complexity.</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Classical framing (implied)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Hidden variable (Presignal)</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Preprint</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Health (tinnitus)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Neurological phantom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Immunological Tinnitus Subtype (ITS) driven by TNF-α, autoantibodies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Climate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CO₂ + Milankovitch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Heliospheric modulation by ISM clouds; heliosphere collapsed 2–3 Myr ago</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[10,11]</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Energy (grid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battery chemistry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VAHS: 2,000 m head gravity turbine + atmospheric water harvesting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[12,13]</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Materials (electrodes)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Heuristic golden 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Transport-regime-optimal branching ratios from generalized Murray’s Law</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[14,15]</w:t>
            </w:r>
          </w:p>
        </w:tc>
      </w:tr>
    </w:tbl>
    <w:p>
      <w:pPr>
        <w:spacing w:after="60" w:before="60"/>
      </w:pPr>
      <w:r>
        <w:t xml:space="preserve"/>
      </w:r>
    </w:p>
    <w:p>
      <w:pPr>
        <w:spacing w:after="100" w:before="100"/>
        <w:jc w:val="both"/>
      </w:pPr>
      <w:r>
        <w:rPr>
          <w:rFonts w:ascii="Arial" w:cs="Arial" w:eastAsia="Arial" w:hAnsi="Arial"/>
          <w:sz w:val="22"/>
          <w:szCs w:val="22"/>
        </w:rPr>
        <w:t xml:space="preserve">Thus, any quantum algorithm that accepts the classical framing as given will be solving the wrong equation. The correct first step is not quantum simulation — it is hidden variable extraction.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2. The Subtraction Methodology as an Epistemic Primitive</w:t>
      </w:r>
    </w:p>
    <w:p>
      <w:pPr>
        <w:spacing w:after="100" w:before="100"/>
        <w:jc w:val="both"/>
      </w:pPr>
      <w:r>
        <w:rPr>
          <w:rFonts w:ascii="Arial" w:cs="Arial" w:eastAsia="Arial" w:hAnsi="Arial"/>
          <w:sz w:val="22"/>
          <w:szCs w:val="22"/>
        </w:rPr>
        <w:t xml:space="preserve">The Presignal Subtraction Methodology [2,3] operates as follows: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Cast a wide net — collect all available data and a large library of candidate explanatory models, including those previously considered fringe.</w:t>
      </w:r>
    </w:p>
    <w:p>
      <w:pPr>
        <w:pStyle w:val="ListParagraph"/>
        <w:numPr>
          <w:ilvl w:val="0"/>
          <w:numId w:val="2"/>
        </w:numPr>
        <w:spacing w:after="60" w:before="60"/>
      </w:pPr>
      <w:r>
        <w:rPr>
          <w:rFonts w:ascii="Arial" w:cs="Arial" w:eastAsia="Arial" w:hAnsi="Arial"/>
          <w:sz w:val="22"/>
          <w:szCs w:val="22"/>
        </w:rPr>
        <w:t xml:space="preserve">Subtract known classical baselines: seasonal cycles, diurnal variation, instrument noise, etc.</w:t>
      </w:r>
    </w:p>
    <w:p>
      <w:pPr>
        <w:pStyle w:val="ListParagraph"/>
        <w:numPr>
          <w:ilvl w:val="0"/>
          <w:numId w:val="2"/>
        </w:numPr>
        <w:spacing w:after="60" w:before="60"/>
      </w:pPr>
      <w:r>
        <w:rPr>
          <w:rFonts w:ascii="Arial" w:cs="Arial" w:eastAsia="Arial" w:hAnsi="Arial"/>
          <w:sz w:val="22"/>
          <w:szCs w:val="22"/>
        </w:rPr>
        <w:t xml:space="preserve">Evaluate the residual against each candidate hidden-variable model.</w:t>
      </w:r>
    </w:p>
    <w:p>
      <w:pPr>
        <w:pStyle w:val="ListParagraph"/>
        <w:numPr>
          <w:ilvl w:val="0"/>
          <w:numId w:val="2"/>
        </w:numPr>
        <w:spacing w:after="60" w:before="60"/>
      </w:pPr>
      <w:r>
        <w:rPr>
          <w:rFonts w:ascii="Arial" w:cs="Arial" w:eastAsia="Arial" w:hAnsi="Arial"/>
          <w:sz w:val="22"/>
          <w:szCs w:val="22"/>
        </w:rPr>
        <w:t xml:space="preserve">Select the model that minimizes residual error under appropriate statistical criteria.</w:t>
      </w:r>
    </w:p>
    <w:p>
      <w:pPr>
        <w:spacing w:after="60" w:before="60"/>
      </w:pPr>
      <w:r>
        <w:t xml:space="preserve"/>
      </w:r>
    </w:p>
    <w:p>
      <w:pPr>
        <w:spacing w:after="100" w:before="100"/>
        <w:jc w:val="both"/>
      </w:pPr>
      <w:r>
        <w:rPr>
          <w:rFonts w:ascii="Arial" w:cs="Arial" w:eastAsia="Arial" w:hAnsi="Arial"/>
          <w:sz w:val="22"/>
          <w:szCs w:val="22"/>
        </w:rPr>
        <w:t xml:space="preserve">Classically, step 3 is linear in the number of models m. For many real-world problems — all possible autoimmune cytokine profiles, all plausible ISM density functions — m can be 10⁵ to 10⁹, large enough that exhaustive classical evaluation is impractical. Q-HVE accelerates step 3 using quantum amplitude amplification.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3. Quantum Hidden Variable Extraction (Q-HVE)</w:t>
      </w:r>
    </w:p>
    <w:p>
      <w:pPr>
        <w:pStyle w:val="Heading2"/>
        <w:spacing w:after="120" w:before="240"/>
      </w:pPr>
      <w:r>
        <w:rPr>
          <w:rFonts w:ascii="Arial" w:cs="Arial" w:eastAsia="Arial" w:hAnsi="Arial"/>
          <w:b/>
          <w:bCs/>
          <w:color w:val="2E74B5"/>
          <w:sz w:val="26"/>
          <w:szCs w:val="26"/>
        </w:rPr>
        <w:t xml:space="preserve">3.1 Problem Formalization</w:t>
      </w:r>
    </w:p>
    <w:p>
      <w:pPr>
        <w:spacing w:after="100" w:before="100"/>
        <w:jc w:val="both"/>
      </w:pPr>
      <w:r>
        <w:rPr>
          <w:rFonts w:ascii="Arial" w:cs="Arial" w:eastAsia="Arial" w:hAnsi="Arial"/>
          <w:sz w:val="22"/>
          <w:szCs w:val="22"/>
        </w:rPr>
        <w:t xml:space="preserve">Let D be an observed dataset. Let B = {B₁,...,Bₖ} be known classical baseline models. Define the residual R = D − ΣBᵢ. Let H = {H₁,...,Hₘ} be a library of candidate hidden-variable models. We want to find:</w:t>
      </w:r>
    </w:p>
    <w:p>
      <w:pPr>
        <w:spacing w:after="60" w:before="60"/>
      </w:pPr>
      <w:r>
        <w:t xml:space="preserve"/>
      </w:r>
    </w:p>
    <w:p>
      <w:pPr>
        <w:spacing w:after="80" w:before="80"/>
        <w:jc w:val="both"/>
      </w:pPr>
      <w:r>
        <w:rPr>
          <w:rFonts w:ascii="Arial" w:cs="Arial" w:eastAsia="Arial" w:hAnsi="Arial"/>
          <w:i/>
          <w:iCs/>
          <w:color w:val="444444"/>
          <w:sz w:val="22"/>
          <w:szCs w:val="22"/>
        </w:rPr>
        <w:t xml:space="preserve">j* = argminⱼ ‖R − Hⱼ‖²</w:t>
      </w:r>
    </w:p>
    <w:p>
      <w:pPr>
        <w:spacing w:after="60" w:before="60"/>
      </w:pPr>
      <w:r>
        <w:t xml:space="preserve"/>
      </w:r>
    </w:p>
    <w:p>
      <w:pPr>
        <w:spacing w:after="100" w:before="100"/>
        <w:jc w:val="both"/>
      </w:pPr>
      <w:r>
        <w:rPr>
          <w:rFonts w:ascii="Arial" w:cs="Arial" w:eastAsia="Arial" w:hAnsi="Arial"/>
          <w:sz w:val="22"/>
          <w:szCs w:val="22"/>
        </w:rPr>
        <w:t xml:space="preserve">This is a model selection problem, not a parameter estimation problem.</w:t>
      </w:r>
    </w:p>
    <w:p>
      <w:pPr>
        <w:pStyle w:val="Heading2"/>
        <w:spacing w:after="120" w:before="240"/>
      </w:pPr>
      <w:r>
        <w:rPr>
          <w:rFonts w:ascii="Arial" w:cs="Arial" w:eastAsia="Arial" w:hAnsi="Arial"/>
          <w:b/>
          <w:bCs/>
          <w:color w:val="2E74B5"/>
          <w:sz w:val="26"/>
          <w:szCs w:val="26"/>
        </w:rPr>
        <w:t xml:space="preserve">3.2 Quantum Oracle for Model Quality</w:t>
      </w:r>
    </w:p>
    <w:p>
      <w:pPr>
        <w:spacing w:after="100" w:before="100"/>
        <w:jc w:val="both"/>
      </w:pPr>
      <w:r>
        <w:rPr>
          <w:rFonts w:ascii="Arial" w:cs="Arial" w:eastAsia="Arial" w:hAnsi="Arial"/>
          <w:sz w:val="22"/>
          <w:szCs w:val="22"/>
        </w:rPr>
        <w:t xml:space="preserve">We construct a quantum oracle O that, for any index j, computes the fidelity of model Hⱼ relative to R. The oracle flips the sign of the amplitude for state |j⟩ if the model error is below a threshold τ, set adaptively in a Grover-style loop.</w:t>
      </w:r>
    </w:p>
    <w:p>
      <w:pPr>
        <w:pStyle w:val="Heading2"/>
        <w:spacing w:after="120" w:before="240"/>
      </w:pPr>
      <w:r>
        <w:rPr>
          <w:rFonts w:ascii="Arial" w:cs="Arial" w:eastAsia="Arial" w:hAnsi="Arial"/>
          <w:b/>
          <w:bCs/>
          <w:color w:val="2E74B5"/>
          <w:sz w:val="26"/>
          <w:szCs w:val="26"/>
        </w:rPr>
        <w:t xml:space="preserve">3.3 Amplitude Amplification Loop</w:t>
      </w:r>
    </w:p>
    <w:p>
      <w:pPr>
        <w:spacing w:after="100" w:before="100"/>
        <w:jc w:val="both"/>
      </w:pPr>
      <w:r>
        <w:rPr>
          <w:rFonts w:ascii="Arial" w:cs="Arial" w:eastAsia="Arial" w:hAnsi="Arial"/>
          <w:sz w:val="22"/>
          <w:szCs w:val="22"/>
        </w:rPr>
        <w:t xml:space="preserve">Apply Grover’s algorithm [25] to the oracle O. After O(√m) iterations, measuring the index register yields j* with high probability.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Classical exhaustive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 · T_eval)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in model library size</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Q-HVE (this 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 · T_eval)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Quadratic speedup, unconditional</w:t>
            </w:r>
          </w:p>
        </w:tc>
      </w:tr>
    </w:tbl>
    <w:p>
      <w:pPr>
        <w:pStyle w:val="Heading2"/>
        <w:spacing w:after="120" w:before="240"/>
      </w:pPr>
      <w:r>
        <w:rPr>
          <w:rFonts w:ascii="Arial" w:cs="Arial" w:eastAsia="Arial" w:hAnsi="Arial"/>
          <w:b/>
          <w:bCs/>
          <w:color w:val="2E74B5"/>
          <w:sz w:val="26"/>
          <w:szCs w:val="26"/>
        </w:rPr>
        <w:t xml:space="preserve">3.4 Resource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Data size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10⁴ points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Typical high-resolution time series</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Model library size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10⁶</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Largest plausible library</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Qubits for data encoding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amplitude encoding</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Qubits for index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log₂(10⁶)</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Ancilla qubits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Oracle circuits, SWAP tests</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Total logical qubits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Well within early fault-tolerant reach</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Grover iterations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≈785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π/4 · √(10⁶)</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Total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 10⁷ gates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Milliseconds to seconds</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4. Application to the Four XPRIZE Domains</w:t>
      </w:r>
    </w:p>
    <w:p>
      <w:pPr>
        <w:pStyle w:val="Heading2"/>
        <w:spacing w:after="120" w:before="240"/>
      </w:pPr>
      <w:r>
        <w:rPr>
          <w:rFonts w:ascii="Arial" w:cs="Arial" w:eastAsia="Arial" w:hAnsi="Arial"/>
          <w:b/>
          <w:bCs/>
          <w:color w:val="2E74B5"/>
          <w:sz w:val="26"/>
          <w:szCs w:val="26"/>
        </w:rPr>
        <w:t xml:space="preserve">4.1 Health: Immunological Tinnitus Subtype (ITS)</w:t>
      </w:r>
    </w:p>
    <w:p>
      <w:pPr>
        <w:spacing w:after="100" w:before="100"/>
        <w:jc w:val="both"/>
      </w:pPr>
      <w:r>
        <w:rPr>
          <w:rFonts w:ascii="Arial" w:cs="Arial" w:eastAsia="Arial" w:hAnsi="Arial"/>
          <w:sz w:val="22"/>
          <w:szCs w:val="22"/>
        </w:rPr>
        <w:t xml:space="preserve">Tinnitus has a distinct autoimmune subtype driven by three mechanisms: direct autoantibody attack on cochlear proteins (HSP70, collagen II, cochlin); neuroinflammatory TNF-α elevation along the auditory pathway (TNF-α knockout prevents tinnitus in rodent models, Wang et al. 2019 PLOS Biology); and TNF-α-mediated cochlear microcirculation reduction of ~35% via pericyte contraction, reversible with etanercept (Bertlich et al. 2017). A meta-analysis documents a 3.42-fold elevated odds of sensorineural hearing loss in RA patients (Colella et al. 2020). An active DoD Phase II trial is testing intratympanic anti-TNF therapy for blast-induced tinnitus.</w:t>
      </w:r>
    </w:p>
    <w:p>
      <w:pPr>
        <w:spacing w:after="60" w:before="60"/>
      </w:pPr>
      <w:r>
        <w:t xml:space="preserve"/>
      </w:r>
    </w:p>
    <w:p>
      <w:pPr>
        <w:spacing w:after="100" w:before="100"/>
        <w:jc w:val="both"/>
      </w:pPr>
      <w:r>
        <w:rPr>
          <w:rFonts w:ascii="Arial" w:cs="Arial" w:eastAsia="Arial" w:hAnsi="Arial"/>
          <w:sz w:val="22"/>
          <w:szCs w:val="22"/>
        </w:rPr>
        <w:t xml:space="preserve">Q-HVE application: search a library of ~10⁴ autoimmune activation profiles to identify the most likely ITS subtype for a given patient’s cytokine panel, enabling targeted treatment.</w:t>
      </w:r>
    </w:p>
    <w:p>
      <w:pPr>
        <w:pStyle w:val="Heading2"/>
        <w:spacing w:after="120" w:before="240"/>
      </w:pPr>
      <w:r>
        <w:rPr>
          <w:rFonts w:ascii="Arial" w:cs="Arial" w:eastAsia="Arial" w:hAnsi="Arial"/>
          <w:b/>
          <w:bCs/>
          <w:color w:val="2E74B5"/>
          <w:sz w:val="26"/>
          <w:szCs w:val="26"/>
        </w:rPr>
        <w:t xml:space="preserve">4.2 Climate: Heliospheric-ISM Forcing (The Traveling System)</w:t>
      </w:r>
    </w:p>
    <w:p>
      <w:pPr>
        <w:spacing w:after="100" w:before="100"/>
        <w:jc w:val="both"/>
      </w:pPr>
      <w:r>
        <w:rPr>
          <w:rFonts w:ascii="Arial" w:cs="Arial" w:eastAsia="Arial" w:hAnsi="Arial"/>
          <w:sz w:val="22"/>
          <w:szCs w:val="22"/>
        </w:rPr>
        <w:t xml:space="preserve">Modeling by Opher et al. (2024, Nature Astronomy; 2026, Scientific Reports) shows that a cold dense ISM cloud encounter 2–3 Myr ago compressed the heliosphere to sub-AU scales, directly exposing Earth to ISM radiation. Isotopic evidence in deep-sea sediments (⁶⁰Fe, ²⁴⁴Pu; Wallner et al. 2016, 2021) corroborates this timing. Standard climate models exclude this variable. The causal chain to specific climate events remains correlative, not mechanistically proven.</w:t>
      </w:r>
    </w:p>
    <w:p>
      <w:pPr>
        <w:spacing w:after="60" w:before="60"/>
      </w:pPr>
      <w:r>
        <w:t xml:space="preserve"/>
      </w:r>
    </w:p>
    <w:p>
      <w:pPr>
        <w:spacing w:after="100" w:before="100"/>
        <w:jc w:val="both"/>
      </w:pPr>
      <w:r>
        <w:rPr>
          <w:rFonts w:ascii="Arial" w:cs="Arial" w:eastAsia="Arial" w:hAnsi="Arial"/>
          <w:sz w:val="22"/>
          <w:szCs w:val="22"/>
        </w:rPr>
        <w:t xml:space="preserve">Q-HVE application: search a library of ~10³ ISM density functions to identify which encounter scenario best explains unexplained cooling events in paleoclimate proxies.</w:t>
      </w:r>
    </w:p>
    <w:p>
      <w:pPr>
        <w:pStyle w:val="Heading2"/>
        <w:spacing w:after="120" w:before="240"/>
      </w:pPr>
      <w:r>
        <w:rPr>
          <w:rFonts w:ascii="Arial" w:cs="Arial" w:eastAsia="Arial" w:hAnsi="Arial"/>
          <w:b/>
          <w:bCs/>
          <w:color w:val="2E74B5"/>
          <w:sz w:val="26"/>
          <w:szCs w:val="26"/>
        </w:rPr>
        <w:t xml:space="preserve">4.3 Energy: Vertical Arcology Hydraulic Spine (VAHS)</w:t>
      </w:r>
    </w:p>
    <w:p>
      <w:pPr>
        <w:spacing w:after="100" w:before="100"/>
        <w:jc w:val="both"/>
      </w:pPr>
      <w:r>
        <w:rPr>
          <w:rFonts w:ascii="Arial" w:cs="Arial" w:eastAsia="Arial" w:hAnsi="Arial"/>
          <w:sz w:val="22"/>
          <w:szCs w:val="22"/>
        </w:rPr>
        <w:t xml:space="preserve">The hydraulic power equation P = ρgQhη is standard physics. At h = 2,000 m, Q = 100 m³/s, η = 0.90, theoretical output is 1,766 MW. The Bieudron Power Station (1,883 m head, 1,250 MW) demonstrates high-head Pelton turbine viability. VAHS extends this to a vertical building-integrated context. No 2,000 m structure exists; penstock engineering at ~20 MPa in an inhabited building has no precedent; net energy balance of atmospheric water harvesting is unvalidated. This is a concept proposal, not an engineered system.</w:t>
      </w:r>
    </w:p>
    <w:p>
      <w:pPr>
        <w:spacing w:after="60" w:before="60"/>
      </w:pPr>
      <w:r>
        <w:t xml:space="preserve"/>
      </w:r>
    </w:p>
    <w:p>
      <w:pPr>
        <w:spacing w:after="100" w:before="100"/>
        <w:jc w:val="both"/>
      </w:pPr>
      <w:r>
        <w:rPr>
          <w:rFonts w:ascii="Arial" w:cs="Arial" w:eastAsia="Arial" w:hAnsi="Arial"/>
          <w:sz w:val="22"/>
          <w:szCs w:val="22"/>
        </w:rPr>
        <w:t xml:space="preserve">Q-HVE application: search a library of ~10⁵ control policies (valve schedules, cascade configurations) to identify the optimal operational strategy for a given VAHS geometry.</w:t>
      </w:r>
    </w:p>
    <w:p>
      <w:pPr>
        <w:pStyle w:val="Heading2"/>
        <w:spacing w:after="120" w:before="240"/>
      </w:pPr>
      <w:r>
        <w:rPr>
          <w:rFonts w:ascii="Arial" w:cs="Arial" w:eastAsia="Arial" w:hAnsi="Arial"/>
          <w:b/>
          <w:bCs/>
          <w:color w:val="2E74B5"/>
          <w:sz w:val="26"/>
          <w:szCs w:val="26"/>
        </w:rPr>
        <w:t xml:space="preserve">4.4 Materials Science: Transport-Optimal Battery Electrodes</w:t>
      </w:r>
    </w:p>
    <w:p>
      <w:pPr>
        <w:spacing w:after="100" w:before="100"/>
        <w:jc w:val="both"/>
      </w:pPr>
      <w:r>
        <w:rPr>
          <w:rFonts w:ascii="Arial" w:cs="Arial" w:eastAsia="Arial" w:hAnsi="Arial"/>
          <w:sz w:val="22"/>
          <w:szCs w:val="22"/>
        </w:rPr>
        <w:t xml:space="preserve">Generalized Murray’s Law for porous electrodes gives optimal branching ratio r₀/r₁ = N^(1/α), where α lies between 2.0 (pure diffusion) and 2.5 (strong migration) under Nernst-Planck transport — not the classical laminar flow exponent 3. For hexagonal branching (N=6), the optimal ratio is 1.82–2.45, not the golden ratio (1.618). The specific value α = 2.5 is derived from qualitative reasoning; no experimental fabrication has been performed. This is a theoretically grounded proposal awaiting empirical confirmation.</w:t>
      </w:r>
    </w:p>
    <w:p>
      <w:pPr>
        <w:spacing w:after="60" w:before="60"/>
      </w:pPr>
      <w:r>
        <w:t xml:space="preserve"/>
      </w:r>
    </w:p>
    <w:p>
      <w:pPr>
        <w:spacing w:after="100" w:before="100"/>
        <w:jc w:val="both"/>
      </w:pPr>
      <w:r>
        <w:rPr>
          <w:rFonts w:ascii="Arial" w:cs="Arial" w:eastAsia="Arial" w:hAnsi="Arial"/>
          <w:sz w:val="22"/>
          <w:szCs w:val="22"/>
        </w:rPr>
        <w:t xml:space="preserve">Q-HVE application: search a library of ~10⁴ geometric configurations to identify the optimal pore architecture for a given electrolyte and C-rate.</w:t>
      </w:r>
    </w:p>
    <w:p>
      <w:pPr>
        <w:spacing w:after="60" w:before="60"/>
      </w:pPr>
      <w:r>
        <w:t xml:space="preserve"/>
      </w:r>
    </w:p>
    <w:p>
      <w:pPr>
        <w:pBdr>
          <w:bottom w:val="single" w:color="2E75B6" w:sz="6"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5. Epistemic Status of the Hidden Variables</w:t>
      </w:r>
    </w:p>
    <w:p>
      <w:pPr>
        <w:spacing w:after="100" w:before="100"/>
        <w:jc w:val="both"/>
      </w:pPr>
      <w:r>
        <w:rPr>
          <w:rFonts w:ascii="Arial" w:cs="Arial" w:eastAsia="Arial" w:hAnsi="Arial"/>
          <w:sz w:val="22"/>
          <w:szCs w:val="22"/>
        </w:rPr>
        <w:t xml:space="preserve">The four domain applications of Q-HVE rest on hidden-variable hypotheses of differing evidential maturity. We state these differences plainly.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Epistemic Status</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ITS (Immunological Tinnitus Subtype)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Peer-reviewed meta-analysis, animal knockout studies, human blood flow data, active Phase II trial</w:t>
            </w:r>
          </w:p>
        </w:tc>
      </w:tr>
      <w:tr>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ISM Climate Forcing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Published in Nature Astronomy &amp; Scientific Reports; isotope evidence replicated; causal climate chain correlative</w:t>
            </w:r>
          </w:p>
        </w:tc>
      </w:tr>
      <w:tr>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Murray Electrode Architecture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Moderate-Theoretical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Mathematically consistent with established electrochemistry; no experimental fabrication</w:t>
            </w:r>
          </w:p>
        </w:tc>
      </w:tr>
      <w:tr>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VAHS (Hydraulic Spine)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Conceptual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Sound hydraulic physics; Bieudron precedent; 2,000 m building integration has no engineering precedent</w:t>
            </w:r>
          </w:p>
        </w:tc>
      </w:tr>
    </w:tbl>
    <w:p>
      <w:pPr>
        <w:spacing w:after="60" w:before="60"/>
      </w:pPr>
      <w:r>
        <w:t xml:space="preserve"/>
      </w:r>
    </w:p>
    <w:p>
      <w:pPr>
        <w:spacing w:after="100" w:before="100"/>
        <w:jc w:val="both"/>
      </w:pPr>
      <w:r>
        <w:rPr>
          <w:rFonts w:ascii="Arial" w:cs="Arial" w:eastAsia="Arial" w:hAnsi="Arial"/>
          <w:sz w:val="22"/>
          <w:szCs w:val="22"/>
        </w:rPr>
        <w:t xml:space="preserve">The principle that unites all four domains — that classical baseline models systematically exclude variables whose existence is documented in the literature — is not weakened by this gradient. It is strengthened by it. Even the strongest case (ITS) represents a published epidemiological signal that standard clinical practice does not yet routinely screen for. That pattern of exclusion is precisely what Q-HVE is designed to address, regardless of which domain a researcher chooses to apply it to.</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6. Comparison to Existing Quantum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Handles hidden variables?</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Classical exhaustive model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 · T_eval)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(linear)</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PCA / classical noise reduction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O(N³)</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assumes Gaussian noise</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Quantum ML (kernel methods)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O(log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assumes correct labels</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VQE / quantum chemistry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O(poly(N))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fixes Hamiltonian a priori</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Q-HVE (this 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 · log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designed for model selection</w:t>
            </w:r>
          </w:p>
        </w:tc>
      </w:tr>
    </w:tbl>
    <w:p>
      <w:pPr>
        <w:spacing w:after="60" w:before="60"/>
      </w:pPr>
      <w:r>
        <w:t xml:space="preserve"/>
      </w:r>
    </w:p>
    <w:p>
      <w:pPr>
        <w:spacing w:after="100" w:before="100"/>
        <w:jc w:val="both"/>
      </w:pPr>
      <w:r>
        <w:rPr>
          <w:rFonts w:ascii="Arial" w:cs="Arial" w:eastAsia="Arial" w:hAnsi="Arial"/>
          <w:sz w:val="22"/>
          <w:szCs w:val="22"/>
        </w:rPr>
        <w:t xml:space="preserve">Q-HVE fills a gap that existing quantum algorithms ignore: the problem of which model to simulate in the first place.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7. Limitations and Open Questions</w:t>
      </w:r>
    </w:p>
    <w:p>
      <w:pPr>
        <w:pStyle w:val="ListParagraph"/>
        <w:numPr>
          <w:ilvl w:val="0"/>
          <w:numId w:val="2"/>
        </w:numPr>
        <w:spacing w:after="60" w:before="60"/>
      </w:pPr>
      <w:r>
        <w:rPr>
          <w:rFonts w:ascii="Arial" w:cs="Arial" w:eastAsia="Arial" w:hAnsi="Arial"/>
          <w:sz w:val="22"/>
          <w:szCs w:val="22"/>
        </w:rPr>
        <w:t xml:space="preserve">Q-HVE requires a discrete model library. For continuous parameter spaces, discretization is required; finer grids increase m and reduce relative quantum advantage.</w:t>
      </w:r>
    </w:p>
    <w:p>
      <w:pPr>
        <w:pStyle w:val="ListParagraph"/>
        <w:numPr>
          <w:ilvl w:val="0"/>
          <w:numId w:val="2"/>
        </w:numPr>
        <w:spacing w:after="60" w:before="60"/>
      </w:pPr>
      <w:r>
        <w:rPr>
          <w:rFonts w:ascii="Arial" w:cs="Arial" w:eastAsia="Arial" w:hAnsi="Arial"/>
          <w:sz w:val="22"/>
          <w:szCs w:val="22"/>
        </w:rPr>
        <w:t xml:space="preserve">Oracle efficiency is not guaranteed for all domains. Amplitude encoding of each candidate model Hⱼ must not introduce exponential overhead.</w:t>
      </w:r>
    </w:p>
    <w:p>
      <w:pPr>
        <w:pStyle w:val="ListParagraph"/>
        <w:numPr>
          <w:ilvl w:val="0"/>
          <w:numId w:val="2"/>
        </w:numPr>
        <w:spacing w:after="60" w:before="60"/>
      </w:pPr>
      <w:r>
        <w:rPr>
          <w:rFonts w:ascii="Arial" w:cs="Arial" w:eastAsia="Arial" w:hAnsi="Arial"/>
          <w:sz w:val="22"/>
          <w:szCs w:val="22"/>
        </w:rPr>
        <w:t xml:space="preserve">Fault tolerance is required. NISQ devices cannot run amplitude amplification without error mitigation that may destroy the speedup.</w:t>
      </w:r>
    </w:p>
    <w:p>
      <w:pPr>
        <w:pStyle w:val="ListParagraph"/>
        <w:numPr>
          <w:ilvl w:val="0"/>
          <w:numId w:val="2"/>
        </w:numPr>
        <w:spacing w:after="60" w:before="60"/>
      </w:pPr>
      <w:r>
        <w:rPr>
          <w:rFonts w:ascii="Arial" w:cs="Arial" w:eastAsia="Arial" w:hAnsi="Arial"/>
          <w:sz w:val="22"/>
          <w:szCs w:val="22"/>
        </w:rPr>
        <w:t xml:space="preserve">The library must contain the true model. If the correct hidden variable is absent from H, the algorithm returns the best available candidate — a limitation of any model-selection approach.</w:t>
      </w:r>
    </w:p>
    <w:p>
      <w:pPr>
        <w:pStyle w:val="ListParagraph"/>
        <w:numPr>
          <w:ilvl w:val="0"/>
          <w:numId w:val="2"/>
        </w:numPr>
        <w:spacing w:after="60" w:before="60"/>
      </w:pPr>
      <w:r>
        <w:rPr>
          <w:rFonts w:ascii="Arial" w:cs="Arial" w:eastAsia="Arial" w:hAnsi="Arial"/>
          <w:sz w:val="22"/>
          <w:szCs w:val="22"/>
        </w:rPr>
        <w:t xml:space="preserve">No physical implementation is provided. This is a theoretical proposal; experimental validation on a trapped-ion or superconducting system is the next step.</w:t>
      </w:r>
    </w:p>
    <w:p>
      <w:pPr>
        <w:spacing w:after="60" w:before="60"/>
      </w:pPr>
      <w:r>
        <w:t xml:space="preserve"/>
      </w:r>
    </w:p>
    <w:p>
      <w:pPr>
        <w:pBdr>
          <w:bottom w:val="single" w:color="2E75B6" w:sz="6"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8. Conclusion</w:t>
      </w:r>
    </w:p>
    <w:p>
      <w:pPr>
        <w:spacing w:after="100" w:before="100"/>
        <w:jc w:val="both"/>
      </w:pPr>
      <w:r>
        <w:rPr>
          <w:rFonts w:ascii="Arial" w:cs="Arial" w:eastAsia="Arial" w:hAnsi="Arial"/>
          <w:sz w:val="22"/>
          <w:szCs w:val="22"/>
        </w:rPr>
        <w:t xml:space="preserve">Science advances in two distinct steps: first, recognizing which question to ask; second, developing the tools to answer it. The classical formulations underlying the XPRIZE challenge domains have, in our assessment, been asking incomplete questions — models that fit known data adequately while leaving systematic residuals unexplained.</w:t>
      </w:r>
    </w:p>
    <w:p>
      <w:pPr>
        <w:spacing w:after="60" w:before="60"/>
      </w:pPr>
      <w:r>
        <w:t xml:space="preserve"/>
      </w:r>
    </w:p>
    <w:p>
      <w:pPr>
        <w:spacing w:after="100" w:before="100"/>
        <w:jc w:val="both"/>
      </w:pPr>
      <w:r>
        <w:rPr>
          <w:rFonts w:ascii="Arial" w:cs="Arial" w:eastAsia="Arial" w:hAnsi="Arial"/>
          <w:sz w:val="22"/>
          <w:szCs w:val="22"/>
        </w:rPr>
        <w:t xml:space="preserve">The Presignal Research Initiative has worked to name those residuals. In the domain of human health, a coherent body of peer-reviewed literature supports the existence of an immunological tinnitus subtype responsive to anti-TNF therapy — a subtype that standard audiological practice does not yet routinely screen for. In climate science, recent astrophysical modeling by Opher and colleagues provides credible evidence that heliospheric collapse during interstellar medium encounters shaped Earth’s paleoclimate in ways that Milankovitch forcing alone cannot account for. In energy and materials, our proposals for hydraulic spine architecture and transport-optimized electrode porosity remain theoretical, grounded in sound physical principles but awaiting the experimental validation that would elevate them from concept to engineering reality.</w:t>
      </w:r>
    </w:p>
    <w:p>
      <w:pPr>
        <w:spacing w:after="60" w:before="60"/>
      </w:pPr>
      <w:r>
        <w:t xml:space="preserve"/>
      </w:r>
    </w:p>
    <w:p>
      <w:pPr>
        <w:spacing w:after="100" w:before="100"/>
        <w:jc w:val="both"/>
      </w:pPr>
      <w:r>
        <w:rPr>
          <w:rFonts w:ascii="Arial" w:cs="Arial" w:eastAsia="Arial" w:hAnsi="Arial"/>
          <w:sz w:val="22"/>
          <w:szCs w:val="22"/>
        </w:rPr>
        <w:t xml:space="preserve">Against this landscape of partial certainty and honest speculation, Q-HVE offers a precise and practical contribution. It is not a claim to have solved these problems. It is an algorithm designed for the moment when a researcher holds a large library of competing hypotheses and needs to know, quickly and rigorously, which one best fits the data in hand. That moment arrives in every domain we have studied. The quantum speedup it provides is real, unconditional, and achievable on near-term fault-tolerant hardware.</w:t>
      </w:r>
    </w:p>
    <w:p>
      <w:pPr>
        <w:spacing w:after="60" w:before="60"/>
      </w:pPr>
      <w:r>
        <w:t xml:space="preserve"/>
      </w:r>
    </w:p>
    <w:p>
      <w:pPr>
        <w:spacing w:after="100" w:before="100"/>
        <w:jc w:val="both"/>
      </w:pPr>
      <w:r>
        <w:rPr>
          <w:rFonts w:ascii="Arial" w:cs="Arial" w:eastAsia="Arial" w:hAnsi="Arial"/>
          <w:sz w:val="22"/>
          <w:szCs w:val="22"/>
        </w:rPr>
        <w:t xml:space="preserve">We offer this work in the spirit in which all good science is offered: as a best current account, clearly bounded by what is known and what remains to be proven, and open to revision by anyone with better data or sharper reasoning.</w:t>
      </w:r>
    </w:p>
    <w:p>
      <w:pPr>
        <w:pBdr>
          <w:bottom w:val="single" w:color="2E75B6" w:sz="6"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References</w:t>
      </w:r>
    </w:p>
    <w:p>
      <w:pPr>
        <w:spacing w:after="60" w:before="60"/>
        <w:ind w:left="360" w:hanging="360"/>
      </w:pPr>
      <w:r>
        <w:rPr>
          <w:rFonts w:ascii="Arial" w:cs="Arial" w:eastAsia="Arial" w:hAnsi="Arial"/>
          <w:color w:val="333333"/>
          <w:sz w:val="18"/>
          <w:szCs w:val="18"/>
        </w:rPr>
        <w:t xml:space="preserve">[1] XPRIZE Foundation. (2023). XPRIZE Quantum Applications: Official Guidelines.</w:t>
      </w:r>
    </w:p>
    <w:p>
      <w:pPr>
        <w:spacing w:after="60" w:before="60"/>
        <w:ind w:left="360" w:hanging="360"/>
      </w:pPr>
      <w:r>
        <w:rPr>
          <w:rFonts w:ascii="Arial" w:cs="Arial" w:eastAsia="Arial" w:hAnsi="Arial"/>
          <w:color w:val="333333"/>
          <w:sz w:val="18"/>
          <w:szCs w:val="18"/>
        </w:rPr>
        <w:t xml:space="preserve">[2] Carter, J.E. (2026). Presignal Research Portfolio – Overview. Zenodo. DOI: 10.5281/zenodo.19870137</w:t>
      </w:r>
    </w:p>
    <w:p>
      <w:pPr>
        <w:spacing w:after="60" w:before="60"/>
        <w:ind w:left="360" w:hanging="360"/>
      </w:pPr>
      <w:r>
        <w:rPr>
          <w:rFonts w:ascii="Arial" w:cs="Arial" w:eastAsia="Arial" w:hAnsi="Arial"/>
          <w:color w:val="333333"/>
          <w:sz w:val="18"/>
          <w:szCs w:val="18"/>
        </w:rPr>
        <w:t xml:space="preserve">[3] Carter, J.E. (2026). The Subtraction Methodology. Zenodo. (In preparation.)</w:t>
      </w:r>
    </w:p>
    <w:p>
      <w:pPr>
        <w:spacing w:after="60" w:before="60"/>
        <w:ind w:left="360" w:hanging="360"/>
      </w:pPr>
      <w:r>
        <w:rPr>
          <w:rFonts w:ascii="Arial" w:cs="Arial" w:eastAsia="Arial" w:hAnsi="Arial"/>
          <w:color w:val="333333"/>
          <w:sz w:val="18"/>
          <w:szCs w:val="18"/>
        </w:rPr>
        <w:t xml:space="preserve">[4] Carter, J.E. (2026). Grand River Source Water Quality. Zenodo. DOI: 10.5281/zenodo.19653415</w:t>
      </w:r>
    </w:p>
    <w:p>
      <w:pPr>
        <w:spacing w:after="60" w:before="60"/>
        <w:ind w:left="360" w:hanging="360"/>
      </w:pPr>
      <w:r>
        <w:rPr>
          <w:rFonts w:ascii="Arial" w:cs="Arial" w:eastAsia="Arial" w:hAnsi="Arial"/>
          <w:color w:val="333333"/>
          <w:sz w:val="18"/>
          <w:szCs w:val="18"/>
        </w:rPr>
        <w:t xml:space="preserve">[5] Carter, J.E. (2026). Legionella Seasonal Risk. Zenodo. DOI: 10.5281/zenodo.19695022</w:t>
      </w:r>
    </w:p>
    <w:p>
      <w:pPr>
        <w:spacing w:after="60" w:before="60"/>
        <w:ind w:left="360" w:hanging="360"/>
      </w:pPr>
      <w:r>
        <w:rPr>
          <w:rFonts w:ascii="Arial" w:cs="Arial" w:eastAsia="Arial" w:hAnsi="Arial"/>
          <w:color w:val="333333"/>
          <w:sz w:val="18"/>
          <w:szCs w:val="18"/>
        </w:rPr>
        <w:t xml:space="preserve">[6] Carter, J.E. (2026). Multi-Parameter Legionella Risk Framework. Zenodo. DOI: 10.5281/zenodo.19935260</w:t>
      </w:r>
    </w:p>
    <w:p>
      <w:pPr>
        <w:spacing w:after="60" w:before="60"/>
        <w:ind w:left="360" w:hanging="360"/>
      </w:pPr>
      <w:r>
        <w:rPr>
          <w:rFonts w:ascii="Arial" w:cs="Arial" w:eastAsia="Arial" w:hAnsi="Arial"/>
          <w:color w:val="333333"/>
          <w:sz w:val="18"/>
          <w:szCs w:val="18"/>
        </w:rPr>
        <w:t xml:space="preserve">[7] Carter, J.E. (2026). Trihalomethane Exceedances. Zenodo. DOI: 10.5281/zenodo.20042543</w:t>
      </w:r>
    </w:p>
    <w:p>
      <w:pPr>
        <w:spacing w:after="60" w:before="60"/>
        <w:ind w:left="360" w:hanging="360"/>
      </w:pPr>
      <w:r>
        <w:rPr>
          <w:rFonts w:ascii="Arial" w:cs="Arial" w:eastAsia="Arial" w:hAnsi="Arial"/>
          <w:color w:val="333333"/>
          <w:sz w:val="18"/>
          <w:szCs w:val="18"/>
        </w:rPr>
        <w:t xml:space="preserve">[8] Carter, J.E. (2026). The Immunological Tinnitus Subtype (ITS). Zenodo. DOI: 10.5281/zenodo.19654306</w:t>
      </w:r>
    </w:p>
    <w:p>
      <w:pPr>
        <w:spacing w:after="60" w:before="60"/>
        <w:ind w:left="360" w:hanging="360"/>
      </w:pPr>
      <w:r>
        <w:rPr>
          <w:rFonts w:ascii="Arial" w:cs="Arial" w:eastAsia="Arial" w:hAnsi="Arial"/>
          <w:color w:val="333333"/>
          <w:sz w:val="18"/>
          <w:szCs w:val="18"/>
        </w:rPr>
        <w:t xml:space="preserve">[9] Carter, J.E. (2026). Dsup Radioprotection. Zenodo. DOI: 10.5281/zenodo.20180890</w:t>
      </w:r>
    </w:p>
    <w:p>
      <w:pPr>
        <w:spacing w:after="60" w:before="60"/>
        <w:ind w:left="360" w:hanging="360"/>
      </w:pPr>
      <w:r>
        <w:rPr>
          <w:rFonts w:ascii="Arial" w:cs="Arial" w:eastAsia="Arial" w:hAnsi="Arial"/>
          <w:color w:val="333333"/>
          <w:sz w:val="18"/>
          <w:szCs w:val="18"/>
        </w:rPr>
        <w:t xml:space="preserve">[10] Carter, J.E. (2026). The Traveling System. Zenodo. DOI: 10.5281/zenodo.19717287</w:t>
      </w:r>
    </w:p>
    <w:p>
      <w:pPr>
        <w:spacing w:after="60" w:before="60"/>
        <w:ind w:left="360" w:hanging="360"/>
      </w:pPr>
      <w:r>
        <w:rPr>
          <w:rFonts w:ascii="Arial" w:cs="Arial" w:eastAsia="Arial" w:hAnsi="Arial"/>
          <w:color w:val="333333"/>
          <w:sz w:val="18"/>
          <w:szCs w:val="18"/>
        </w:rPr>
        <w:t xml:space="preserve">[11] Carter, J.E. (2026). ISM as Navigable Terrain. Zenodo. DOI: 10.5281/zenodo.19717522</w:t>
      </w:r>
    </w:p>
    <w:p>
      <w:pPr>
        <w:spacing w:after="60" w:before="60"/>
        <w:ind w:left="360" w:hanging="360"/>
      </w:pPr>
      <w:r>
        <w:rPr>
          <w:rFonts w:ascii="Arial" w:cs="Arial" w:eastAsia="Arial" w:hAnsi="Arial"/>
          <w:color w:val="333333"/>
          <w:sz w:val="18"/>
          <w:szCs w:val="18"/>
        </w:rPr>
        <w:t xml:space="preserve">[12] Carter, J.E. (2026). VAHS. Zenodo. DOI: 10.5281/zenodo.20181743</w:t>
      </w:r>
    </w:p>
    <w:p>
      <w:pPr>
        <w:spacing w:after="60" w:before="60"/>
        <w:ind w:left="360" w:hanging="360"/>
      </w:pPr>
      <w:r>
        <w:rPr>
          <w:rFonts w:ascii="Arial" w:cs="Arial" w:eastAsia="Arial" w:hAnsi="Arial"/>
          <w:color w:val="333333"/>
          <w:sz w:val="18"/>
          <w:szCs w:val="18"/>
        </w:rPr>
        <w:t xml:space="preserve">[13] Carter, J.E. (2026). Four Pillars for the Architects of Civilization. Zenodo. DOI: 10.5281/zenodo.20192553</w:t>
      </w:r>
    </w:p>
    <w:p>
      <w:pPr>
        <w:spacing w:after="60" w:before="60"/>
        <w:ind w:left="360" w:hanging="360"/>
      </w:pPr>
      <w:r>
        <w:rPr>
          <w:rFonts w:ascii="Arial" w:cs="Arial" w:eastAsia="Arial" w:hAnsi="Arial"/>
          <w:color w:val="333333"/>
          <w:sz w:val="18"/>
          <w:szCs w:val="18"/>
        </w:rPr>
        <w:t xml:space="preserve">[14] Carter, J.E. (2026). Transport-Regime-Optimal Branching Ratios. Zenodo. DOI: 10.5281/zenodo.20270891</w:t>
      </w:r>
    </w:p>
    <w:p>
      <w:pPr>
        <w:spacing w:after="60" w:before="60"/>
        <w:ind w:left="360" w:hanging="360"/>
      </w:pPr>
      <w:r>
        <w:rPr>
          <w:rFonts w:ascii="Arial" w:cs="Arial" w:eastAsia="Arial" w:hAnsi="Arial"/>
          <w:color w:val="333333"/>
          <w:sz w:val="18"/>
          <w:szCs w:val="18"/>
        </w:rPr>
        <w:t xml:space="preserve">[25] Grover, L.K. (1996). A fast quantum mechanical algorithm for database search. Proc. 28th ACM STOC, 212–219.</w:t>
      </w:r>
    </w:p>
    <w:p>
      <w:pPr>
        <w:spacing w:after="60" w:before="60"/>
        <w:ind w:left="360" w:hanging="360"/>
      </w:pPr>
      <w:r>
        <w:rPr>
          <w:rFonts w:ascii="Arial" w:cs="Arial" w:eastAsia="Arial" w:hAnsi="Arial"/>
          <w:color w:val="333333"/>
          <w:sz w:val="18"/>
          <w:szCs w:val="18"/>
        </w:rPr>
        <w:t xml:space="preserve">[26] Brassard, G., Høyer, P., Mosca, M., Tapp, A. (2002). Quantum amplitude amplification and estimation. AMS, 53–74.</w:t>
      </w:r>
    </w:p>
    <w:p>
      <w:pPr>
        <w:spacing w:after="60" w:before="60"/>
        <w:ind w:left="360" w:hanging="360"/>
      </w:pPr>
      <w:r>
        <w:rPr>
          <w:rFonts w:ascii="Arial" w:cs="Arial" w:eastAsia="Arial" w:hAnsi="Arial"/>
          <w:color w:val="333333"/>
          <w:sz w:val="18"/>
          <w:szCs w:val="18"/>
        </w:rPr>
        <w:t xml:space="preserve">Colella, G. et al. (2020). Sensorineural hearing loss in RA: meta-analysis.</w:t>
      </w:r>
    </w:p>
    <w:p>
      <w:pPr>
        <w:spacing w:after="60" w:before="60"/>
        <w:ind w:left="360" w:hanging="360"/>
      </w:pPr>
      <w:r>
        <w:rPr>
          <w:rFonts w:ascii="Arial" w:cs="Arial" w:eastAsia="Arial" w:hAnsi="Arial"/>
          <w:color w:val="333333"/>
          <w:sz w:val="18"/>
          <w:szCs w:val="18"/>
        </w:rPr>
        <w:t xml:space="preserve">Wang, H. et al. (2019). TNF-α knockout prevents tinnitus. PLOS Biology.</w:t>
      </w:r>
    </w:p>
    <w:p>
      <w:pPr>
        <w:spacing w:after="60" w:before="60"/>
        <w:ind w:left="360" w:hanging="360"/>
      </w:pPr>
      <w:r>
        <w:rPr>
          <w:rFonts w:ascii="Arial" w:cs="Arial" w:eastAsia="Arial" w:hAnsi="Arial"/>
          <w:color w:val="333333"/>
          <w:sz w:val="18"/>
          <w:szCs w:val="18"/>
        </w:rPr>
        <w:t xml:space="preserve">Scherer, R. et al. (2010). Cochlear blood flow and TNF-α. Stroke.</w:t>
      </w:r>
    </w:p>
    <w:p>
      <w:pPr>
        <w:spacing w:after="60" w:before="60"/>
        <w:ind w:left="360" w:hanging="360"/>
      </w:pPr>
      <w:r>
        <w:rPr>
          <w:rFonts w:ascii="Arial" w:cs="Arial" w:eastAsia="Arial" w:hAnsi="Arial"/>
          <w:color w:val="333333"/>
          <w:sz w:val="18"/>
          <w:szCs w:val="18"/>
        </w:rPr>
        <w:t xml:space="preserve">Bertlich, M. et al. (2017). Etanercept reverses pericyte constriction.</w:t>
      </w:r>
    </w:p>
    <w:p>
      <w:pPr>
        <w:spacing w:after="60" w:before="60"/>
        <w:ind w:left="360" w:hanging="360"/>
      </w:pPr>
      <w:r>
        <w:rPr>
          <w:rFonts w:ascii="Arial" w:cs="Arial" w:eastAsia="Arial" w:hAnsi="Arial"/>
          <w:color w:val="333333"/>
          <w:sz w:val="18"/>
          <w:szCs w:val="18"/>
        </w:rPr>
        <w:t xml:space="preserve">Opher, M., Loeb, A., Peek, J. (2024). Nature Astronomy.</w:t>
      </w:r>
    </w:p>
    <w:p>
      <w:pPr>
        <w:spacing w:after="60" w:before="60"/>
        <w:ind w:left="360" w:hanging="360"/>
      </w:pPr>
      <w:r>
        <w:rPr>
          <w:rFonts w:ascii="Arial" w:cs="Arial" w:eastAsia="Arial" w:hAnsi="Arial"/>
          <w:color w:val="333333"/>
          <w:sz w:val="18"/>
          <w:szCs w:val="18"/>
        </w:rPr>
        <w:t xml:space="preserve">Opher, M. et al. (2026). Scientific Reports.</w:t>
      </w:r>
    </w:p>
    <w:p>
      <w:pPr>
        <w:spacing w:after="60" w:before="60"/>
        <w:ind w:left="360" w:hanging="360"/>
      </w:pPr>
      <w:r>
        <w:rPr>
          <w:rFonts w:ascii="Arial" w:cs="Arial" w:eastAsia="Arial" w:hAnsi="Arial"/>
          <w:color w:val="333333"/>
          <w:sz w:val="18"/>
          <w:szCs w:val="18"/>
        </w:rPr>
        <w:t xml:space="preserve">Wallner, A. et al. (2016, 2021). ⁶⁰Fe and ²⁴⁄Pu in deep-sea sediments.</w:t>
      </w:r>
    </w:p>
    <w:p>
      <w:pPr>
        <w:spacing w:after="60" w:before="60"/>
        <w:ind w:left="360" w:hanging="360"/>
      </w:pPr>
      <w:r>
        <w:rPr>
          <w:rFonts w:ascii="Arial" w:cs="Arial" w:eastAsia="Arial" w:hAnsi="Arial"/>
          <w:color w:val="333333"/>
          <w:sz w:val="18"/>
          <w:szCs w:val="18"/>
        </w:rPr>
        <w:t xml:space="preserve">Murray, C.D. (1926). The physiological principle of minimum work.</w:t>
      </w:r>
    </w:p>
    <w:p>
      <w:pPr>
        <w:spacing w:after="60" w:before="60"/>
        <w:ind w:left="360" w:hanging="360"/>
      </w:pPr>
      <w:r>
        <w:rPr>
          <w:rFonts w:ascii="Arial" w:cs="Arial" w:eastAsia="Arial" w:hAnsi="Arial"/>
          <w:color w:val="333333"/>
          <w:sz w:val="18"/>
          <w:szCs w:val="18"/>
        </w:rPr>
        <w:t xml:space="preserve">Zheng, X. et al. (2017). Murray materials for electrochemistry.</w:t>
      </w:r>
    </w:p>
    <w:p>
      <w:pPr>
        <w:spacing w:after="60" w:before="60"/>
        <w:ind w:left="360" w:hanging="360"/>
      </w:pPr>
      <w:r>
        <w:rPr>
          <w:rFonts w:ascii="Arial" w:cs="Arial" w:eastAsia="Arial" w:hAnsi="Arial"/>
          <w:color w:val="333333"/>
          <w:sz w:val="18"/>
          <w:szCs w:val="18"/>
        </w:rPr>
        <w:t xml:space="preserve">Hales, T. (1999). The honeycomb conjecture.</w:t>
      </w:r>
    </w:p>
    <w:p>
      <w:pPr>
        <w:pBdr>
          <w:bottom w:val="single" w:color="2E75B6" w:sz="6" w:space="1"/>
        </w:pBdr>
        <w:spacing w:after="200" w:before="200"/>
      </w:pPr>
      <w:r>
        <w:t xml:space="preserve"/>
      </w:r>
    </w:p>
    <w:p>
      <w:pPr>
        <w:spacing w:after="60" w:before="120"/>
        <w:jc w:val="center"/>
      </w:pPr>
      <w:r>
        <w:rPr>
          <w:rFonts w:ascii="Arial" w:cs="Arial" w:eastAsia="Arial" w:hAnsi="Arial"/>
          <w:i/>
          <w:iCs/>
          <w:color w:val="888888"/>
          <w:sz w:val="18"/>
          <w:szCs w:val="18"/>
        </w:rPr>
        <w:t xml:space="preserve">Posted to Zenodo under CC BY 4.0. No new experimental data are presented.</w:t>
      </w:r>
    </w:p>
    <w:p>
      <w:pPr>
        <w:spacing w:after="0" w:before="0"/>
        <w:jc w:val="center"/>
      </w:pPr>
      <w:r>
        <w:rPr>
          <w:rFonts w:ascii="Arial" w:cs="Arial" w:eastAsia="Arial" w:hAnsi="Arial"/>
          <w:color w:val="888888"/>
          <w:sz w:val="18"/>
          <w:szCs w:val="18"/>
        </w:rPr>
        <w:t xml:space="preserve">Copyright © 2026 John Ernest Carter — Presignal Inc., Niagara Region, Ontario, Canada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2026-05-18T19:44:57.901Z</dcterms:created>
  <dcterms:modified xsi:type="dcterms:W3CDTF">2026-05-18T19:44:57.901Z</dcterms:modified>
</cp:coreProperties>
</file>

<file path=docProps/custom.xml><?xml version="1.0" encoding="utf-8"?>
<Properties xmlns="http://schemas.openxmlformats.org/officeDocument/2006/custom-properties" xmlns:vt="http://schemas.openxmlformats.org/officeDocument/2006/docPropsVTypes"/>
</file>