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Georgia" w:cs="Georgia" w:eastAsia="Georgia" w:hAnsi="Georgia"/>
          <w:b/>
          <w:bCs/>
          <w:caps/>
          <w:color w:val="8FA8C0"/>
          <w:sz w:val="18"/>
          <w:szCs w:val="18"/>
        </w:rPr>
        <w:t xml:space="preserve">PRESIGNAL RESEARCH INITIATIVE</w:t>
      </w:r>
    </w:p>
    <w:p>
      <w:pPr>
        <w:pBdr>
          <w:bottom w:val="single" w:color="0D1F3C" w:sz="16" w:space="2"/>
        </w:pBdr>
        <w:spacing w:after="0" w:before="0"/>
        <w:jc w:val="center"/>
      </w:pPr>
    </w:p>
    <w:p>
      <w:pPr>
        <w:spacing w:after="400" w:before="0"/>
      </w:pPr>
    </w:p>
    <w:p>
      <w:pPr>
        <w:jc w:val="center"/>
      </w:pPr>
      <w:r>
        <w:rPr>
          <w:rFonts w:ascii="Georgia" w:cs="Georgia" w:eastAsia="Georgia" w:hAnsi="Georgia"/>
          <w:b/>
          <w:bCs/>
          <w:color w:val="8FA8C0"/>
          <w:sz w:val="28"/>
          <w:szCs w:val="28"/>
        </w:rPr>
        <w:t xml:space="preserve">THE</w:t>
      </w:r>
    </w:p>
    <w:p>
      <w:pPr>
        <w:spacing w:after="40" w:before="0"/>
      </w:pPr>
    </w:p>
    <w:p>
      <w:pPr>
        <w:spacing w:after="0" w:before="0"/>
        <w:jc w:val="center"/>
      </w:pPr>
      <w:r>
        <w:rPr>
          <w:rFonts w:ascii="Georgia" w:cs="Georgia" w:eastAsia="Georgia" w:hAnsi="Georgia"/>
          <w:b/>
          <w:bCs/>
          <w:color w:val="0D1F3C"/>
          <w:sz w:val="96"/>
          <w:szCs w:val="96"/>
        </w:rPr>
        <w:t xml:space="preserve">EXTINCTION</w:t>
      </w:r>
    </w:p>
    <w:p>
      <w:pPr>
        <w:spacing w:after="40" w:before="0"/>
        <w:jc w:val="center"/>
      </w:pPr>
      <w:r>
        <w:rPr>
          <w:rFonts w:ascii="Georgia" w:cs="Georgia" w:eastAsia="Georgia" w:hAnsi="Georgia"/>
          <w:b/>
          <w:bCs/>
          <w:color w:val="2E5F8A"/>
          <w:sz w:val="96"/>
          <w:szCs w:val="96"/>
        </w:rPr>
        <w:t xml:space="preserve">CODEX</w:t>
      </w:r>
    </w:p>
    <w:p>
      <w:pPr>
        <w:pBdr>
          <w:bottom w:val="single" w:color="8FA8C0" w:sz="4" w:space="2"/>
        </w:pBdr>
        <w:spacing w:after="80" w:before="80"/>
      </w:pPr>
    </w:p>
    <w:p>
      <w:pPr>
        <w:spacing w:after="80" w:before="0"/>
      </w:pPr>
    </w:p>
    <w:p>
      <w:pPr>
        <w:jc w:val="center"/>
      </w:pPr>
      <w:r>
        <w:rPr>
          <w:rFonts w:ascii="Georgia" w:cs="Georgia" w:eastAsia="Georgia" w:hAnsi="Georgia"/>
          <w:color w:val="333333"/>
          <w:sz w:val="30"/>
          <w:szCs w:val="30"/>
        </w:rPr>
        <w:t xml:space="preserve">A Complete Systems Taxonomy of Civilizational Collapse</w:t>
      </w:r>
    </w:p>
    <w:p>
      <w:pPr>
        <w:jc w:val="center"/>
      </w:pPr>
      <w:r>
        <w:rPr>
          <w:rFonts w:ascii="Georgia" w:cs="Georgia" w:eastAsia="Georgia" w:hAnsi="Georgia"/>
          <w:color w:val="333333"/>
          <w:sz w:val="30"/>
          <w:szCs w:val="30"/>
        </w:rPr>
        <w:t xml:space="preserve">and Extinction-Level Risk Vectors Facing Human Civilization</w:t>
      </w:r>
    </w:p>
    <w:p>
      <w:pPr>
        <w:spacing w:after="240" w:before="0"/>
      </w:pPr>
    </w:p>
    <w:p>
      <w:pPr>
        <w:spacing w:after="60" w:before="0"/>
        <w:jc w:val="center"/>
      </w:pPr>
      <w:r>
        <w:rPr>
          <w:rFonts w:ascii="Georgia" w:cs="Georgia" w:eastAsia="Georgia" w:hAnsi="Georgia"/>
          <w:i/>
          <w:iCs/>
          <w:color w:val="8FA8C0"/>
          <w:sz w:val="22"/>
          <w:szCs w:val="22"/>
        </w:rPr>
        <w:t xml:space="preserve">Version 1.0</w:t>
      </w:r>
    </w:p>
    <w:p>
      <w:pPr>
        <w:pBdr>
          <w:bottom w:val="single" w:color="8FA8C0" w:sz="2" w:space="2"/>
        </w:pBdr>
        <w:spacing w:after="80" w:before="80"/>
      </w:pPr>
    </w:p>
    <w:p>
      <w:pPr>
        <w:spacing w:after="300" w:before="0"/>
      </w:pPr>
    </w:p>
    <w:p>
      <w:pPr>
        <w:jc w:val="center"/>
      </w:pPr>
      <w:r>
        <w:rPr>
          <w:rFonts w:ascii="Georgia" w:cs="Georgia" w:eastAsia="Georgia" w:hAnsi="Georgia"/>
          <w:b/>
          <w:bCs/>
          <w:sz w:val="22"/>
          <w:szCs w:val="22"/>
        </w:rPr>
        <w:t xml:space="preserve">Author: </w:t>
      </w:r>
      <w:r>
        <w:rPr>
          <w:rFonts w:ascii="Georgia" w:cs="Georgia" w:eastAsia="Georgia" w:hAnsi="Georgia"/>
          <w:sz w:val="22"/>
          <w:szCs w:val="22"/>
        </w:rPr>
        <w:t xml:space="preserve">John Ernest Carter</w:t>
      </w:r>
    </w:p>
    <w:p>
      <w:pPr>
        <w:jc w:val="center"/>
      </w:pPr>
      <w:r>
        <w:rPr>
          <w:rFonts w:ascii="Georgia" w:cs="Georgia" w:eastAsia="Georgia" w:hAnsi="Georgia"/>
          <w:b/>
          <w:bCs/>
          <w:sz w:val="22"/>
          <w:szCs w:val="22"/>
        </w:rPr>
        <w:t xml:space="preserve">Affiliation: </w:t>
      </w:r>
      <w:r>
        <w:rPr>
          <w:rFonts w:ascii="Georgia" w:cs="Georgia" w:eastAsia="Georgia" w:hAnsi="Georgia"/>
          <w:sz w:val="22"/>
          <w:szCs w:val="22"/>
        </w:rPr>
        <w:t xml:space="preserve">Presignal Research Initiative, Niagara Region, Ontario, Canada</w:t>
      </w:r>
    </w:p>
    <w:p>
      <w:pPr>
        <w:jc w:val="center"/>
      </w:pPr>
      <w:r>
        <w:rPr>
          <w:rFonts w:ascii="Georgia" w:cs="Georgia" w:eastAsia="Georgia" w:hAnsi="Georgia"/>
          <w:b/>
          <w:bCs/>
          <w:sz w:val="22"/>
          <w:szCs w:val="22"/>
        </w:rPr>
        <w:t xml:space="preserve">ORCID: </w:t>
      </w:r>
      <w:r>
        <w:rPr>
          <w:rFonts w:ascii="Georgia" w:cs="Georgia" w:eastAsia="Georgia" w:hAnsi="Georgia"/>
          <w:sz w:val="22"/>
          <w:szCs w:val="22"/>
        </w:rPr>
        <w:t xml:space="preserve">0009-0004-1363-304X</w:t>
      </w:r>
    </w:p>
    <w:p>
      <w:pPr>
        <w:jc w:val="center"/>
      </w:pPr>
      <w:r>
        <w:rPr>
          <w:rFonts w:ascii="Georgia" w:cs="Georgia" w:eastAsia="Georgia" w:hAnsi="Georgia"/>
          <w:b/>
          <w:bCs/>
          <w:sz w:val="22"/>
          <w:szCs w:val="22"/>
        </w:rPr>
        <w:t xml:space="preserve">Contact: </w:t>
      </w:r>
      <w:r>
        <w:rPr>
          <w:rFonts w:ascii="Georgia" w:cs="Georgia" w:eastAsia="Georgia" w:hAnsi="Georgia"/>
          <w:sz w:val="22"/>
          <w:szCs w:val="22"/>
        </w:rPr>
        <w:t xml:space="preserve">jubecrew@gmail.com</w:t>
      </w:r>
    </w:p>
    <w:p>
      <w:pPr>
        <w:jc w:val="center"/>
      </w:pPr>
      <w:r>
        <w:rPr>
          <w:rFonts w:ascii="Georgia" w:cs="Georgia" w:eastAsia="Georgia" w:hAnsi="Georgia"/>
          <w:b/>
          <w:bCs/>
          <w:sz w:val="22"/>
          <w:szCs w:val="22"/>
        </w:rPr>
        <w:t xml:space="preserve">Date: </w:t>
      </w:r>
      <w:r>
        <w:rPr>
          <w:rFonts w:ascii="Georgia" w:cs="Georgia" w:eastAsia="Georgia" w:hAnsi="Georgia"/>
          <w:sz w:val="22"/>
          <w:szCs w:val="22"/>
        </w:rPr>
        <w:t xml:space="preserve">May 17, 2026</w:t>
      </w:r>
    </w:p>
    <w:p>
      <w:pPr>
        <w:spacing w:after="200" w:before="0"/>
      </w:pPr>
    </w:p>
    <w:p>
      <w:pPr>
        <w:jc w:val="center"/>
      </w:pPr>
      <w:r>
        <w:rPr>
          <w:rFonts w:ascii="Georgia" w:cs="Georgia" w:eastAsia="Georgia" w:hAnsi="Georgia"/>
          <w:i/>
          <w:iCs/>
          <w:color w:val="888888"/>
          <w:sz w:val="18"/>
          <w:szCs w:val="18"/>
        </w:rPr>
        <w:t xml:space="preserve">Independent monograph — not peer reviewed at time of release</w:t>
      </w:r>
    </w:p>
    <w:p>
      <w:pPr>
        <w:spacing w:after="120" w:before="0"/>
      </w:pPr>
    </w:p>
    <w:p>
      <w:pPr>
        <w:pBdr>
          <w:top w:val="single" w:color="0D1F3C" w:sz="8" w:space="8"/>
        </w:pBdr>
        <w:spacing w:after="0" w:before="0"/>
        <w:jc w:val="center"/>
      </w:pPr>
    </w:p>
    <w:p>
      <w:r>
        <w:br w:type="page"/>
      </w:r>
    </w:p>
    <w:p>
      <w:pPr>
        <w:pStyle w:val="Heading1"/>
        <w:pBdr>
          <w:bottom w:val="single" w:color="2E5F8A" w:sz="6" w:space="2"/>
        </w:pBdr>
        <w:spacing w:after="160" w:before="360"/>
      </w:pPr>
      <w:r>
        <w:rPr>
          <w:rFonts w:ascii="Georgia" w:cs="Georgia" w:eastAsia="Georgia" w:hAnsi="Georgia"/>
          <w:b/>
          <w:bCs/>
          <w:color w:val="0D1F3C"/>
          <w:sz w:val="32"/>
          <w:szCs w:val="32"/>
        </w:rPr>
        <w:t xml:space="preserve">Foreword: The Map That Was Not Drawn</w:t>
      </w:r>
    </w:p>
    <w:p>
      <w:pPr>
        <w:spacing w:after="80" w:before="80" w:line="280"/>
        <w:jc w:val="both"/>
      </w:pPr>
      <w:r>
        <w:rPr>
          <w:rFonts w:ascii="Georgia" w:cs="Georgia" w:eastAsia="Georgia" w:hAnsi="Georgia"/>
          <w:sz w:val="22"/>
          <w:szCs w:val="22"/>
        </w:rPr>
        <w:t xml:space="preserve">This document was written because no single map existed.</w:t>
      </w:r>
    </w:p>
    <w:p>
      <w:pPr>
        <w:spacing w:after="80" w:before="0"/>
      </w:pPr>
    </w:p>
    <w:p>
      <w:pPr>
        <w:spacing w:after="80" w:before="80" w:line="280"/>
        <w:jc w:val="both"/>
      </w:pPr>
      <w:r>
        <w:rPr>
          <w:rFonts w:ascii="Georgia" w:cs="Georgia" w:eastAsia="Georgia" w:hAnsi="Georgia"/>
          <w:sz w:val="22"/>
          <w:szCs w:val="22"/>
        </w:rPr>
        <w:t xml:space="preserve">Threat registers address individual vectors. Extinction literature addresses individual mechanisms. Risk assessments are commissioned by institutions with jurisdictional boundaries that stop at the edge of their mandate. What has never been assembled — in a single citable framework, for a general scientific and policy audience — is the complete topology: every credible pathway by which human civilization ends or is catastrophically reduced, every interaction between those pathways, and every honest assessment of what recovery looks like from each one.</w:t>
      </w:r>
    </w:p>
    <w:p>
      <w:pPr>
        <w:spacing w:after="80" w:before="0"/>
      </w:pPr>
    </w:p>
    <w:p>
      <w:pPr>
        <w:spacing w:after="80" w:before="80" w:line="280"/>
        <w:jc w:val="both"/>
      </w:pPr>
      <w:r>
        <w:rPr>
          <w:rFonts w:ascii="Georgia" w:cs="Georgia" w:eastAsia="Georgia" w:hAnsi="Georgia"/>
          <w:sz w:val="22"/>
          <w:szCs w:val="22"/>
        </w:rPr>
        <w:t xml:space="preserve">That absence is itself a civilizational risk. You cannot navigate terrain that has not been charted.</w:t>
      </w:r>
    </w:p>
    <w:p>
      <w:pPr>
        <w:spacing w:after="80" w:before="0"/>
      </w:pPr>
    </w:p>
    <w:p>
      <w:pPr>
        <w:spacing w:after="80" w:before="80" w:line="280"/>
        <w:jc w:val="both"/>
      </w:pPr>
      <w:r>
        <w:rPr>
          <w:rFonts w:ascii="Georgia" w:cs="Georgia" w:eastAsia="Georgia" w:hAnsi="Georgia"/>
          <w:sz w:val="22"/>
          <w:szCs w:val="22"/>
        </w:rPr>
        <w:t xml:space="preserve">This Codex does not predict the future. It does not advocate for any political position. It does not assign blame. It maps the threat landscape as completely and honestly as current science allows, names the interactions between threats that make them exponentially more dangerous than their individual assessments suggest, and delivers one finding that is not negotiable regardless of which scenario arrives:</w:t>
      </w:r>
    </w:p>
    <w:p>
      <w:pPr>
        <w:spacing w:after="80" w:before="0"/>
      </w:pPr>
    </w:p>
    <w:p>
      <w:pPr>
        <w:spacing w:after="80" w:before="80" w:line="280"/>
        <w:jc w:val="both"/>
      </w:pPr>
      <w:r>
        <w:rPr>
          <w:rFonts w:ascii="Georgia" w:cs="Georgia" w:eastAsia="Georgia" w:hAnsi="Georgia"/>
          <w:b/>
          <w:bCs/>
          <w:i/>
          <w:iCs/>
          <w:color w:val="0D1F3C"/>
          <w:sz w:val="22"/>
          <w:szCs w:val="22"/>
        </w:rPr>
        <w:t xml:space="preserve">The window for meaningful intervention is always shorter than the window for comfortable denial.</w:t>
      </w:r>
    </w:p>
    <w:p>
      <w:pPr>
        <w:spacing w:after="80" w:before="0"/>
      </w:pPr>
    </w:p>
    <w:p>
      <w:pPr>
        <w:spacing w:after="80" w:before="80" w:line="280"/>
        <w:jc w:val="both"/>
      </w:pPr>
      <w:r>
        <w:rPr>
          <w:rFonts w:ascii="Georgia" w:cs="Georgia" w:eastAsia="Georgia" w:hAnsi="Georgia"/>
          <w:sz w:val="22"/>
          <w:szCs w:val="22"/>
        </w:rPr>
        <w:t xml:space="preserve">The people with the capacity to act on this document will recognize themselves in Part IV. It is written for them directly. The rest of this document provides the evidentiary foundation for what that section concludes.</w:t>
      </w:r>
    </w:p>
    <w:p>
      <w:pPr>
        <w:spacing w:after="80" w:before="0"/>
      </w:pPr>
    </w:p>
    <w:p>
      <w:pPr>
        <w:spacing w:after="80" w:before="80" w:line="280"/>
        <w:jc w:val="both"/>
      </w:pPr>
      <w:r>
        <w:rPr>
          <w:rFonts w:ascii="Georgia" w:cs="Georgia" w:eastAsia="Georgia" w:hAnsi="Georgia"/>
          <w:sz w:val="22"/>
          <w:szCs w:val="22"/>
        </w:rPr>
        <w:t xml:space="preserve">No single institution commissioned this work. No funding body constrained its conclusions. The research is independent, the citations are verifiable, and the analysis belongs to anyone willing to read it.</w:t>
      </w:r>
    </w:p>
    <w:p>
      <w:pPr>
        <w:spacing w:after="120" w:before="0"/>
      </w:pPr>
    </w:p>
    <w:p>
      <w:pPr>
        <w:spacing w:after="80" w:before="80" w:line="280"/>
        <w:jc w:val="both"/>
      </w:pPr>
      <w:r>
        <w:rPr>
          <w:rFonts w:ascii="Georgia" w:cs="Georgia" w:eastAsia="Georgia" w:hAnsi="Georgia"/>
          <w:i/>
          <w:iCs/>
          <w:sz w:val="22"/>
          <w:szCs w:val="22"/>
        </w:rPr>
        <w:t xml:space="preserve">John Ernest Carter</w:t>
      </w:r>
      <w:r>
        <w:rPr>
          <w:rFonts w:ascii="Georgia" w:cs="Georgia" w:eastAsia="Georgia" w:hAnsi="Georgia"/>
          <w:sz w:val="22"/>
          <w:szCs w:val="22"/>
        </w:rPr>
        <w:t xml:space="preserve">  —  Presignal Research Initiative, May 2026</w:t>
      </w:r>
    </w:p>
    <w:p>
      <w:r>
        <w:br w:type="page"/>
      </w:r>
    </w:p>
    <w:p>
      <w:pPr>
        <w:spacing w:after="300" w:before="0"/>
      </w:pPr>
    </w:p>
    <w:p>
      <w:pPr>
        <w:pBdr>
          <w:bottom w:val="single" w:color="0D1F3C" w:sz="12" w:space="2"/>
        </w:pBdr>
        <w:spacing w:after="40" w:before="0"/>
        <w:jc w:val="center"/>
      </w:pPr>
      <w:r>
        <w:rPr>
          <w:rFonts w:ascii="Georgia" w:cs="Georgia" w:eastAsia="Georgia" w:hAnsi="Georgia"/>
          <w:b/>
          <w:bCs/>
          <w:color w:val="0D1F3C"/>
          <w:sz w:val="52"/>
          <w:szCs w:val="52"/>
        </w:rPr>
        <w:t xml:space="preserve">PART I — SCENARIO ZERO
The Silent Accelerant Already Running</w:t>
      </w:r>
    </w:p>
    <w:p>
      <w:pPr>
        <w:spacing w:after="20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The Biological Substrate Collapse</w:t>
      </w:r>
    </w:p>
    <w:p>
      <w:pPr>
        <w:spacing w:after="80" w:before="80" w:line="280"/>
        <w:jc w:val="both"/>
      </w:pPr>
      <w:r>
        <w:rPr>
          <w:rFonts w:ascii="Georgia" w:cs="Georgia" w:eastAsia="Georgia" w:hAnsi="Georgia"/>
          <w:sz w:val="22"/>
          <w:szCs w:val="22"/>
        </w:rPr>
        <w:t xml:space="preserve">Before any acute catastrophe arrives, a slower extinction is already underway. It does not announce itself with geological violence or solar fury. It presents as chronic disease, cognitive decline, immune dysfunction, and the quiet disappearance of nutritional density from the food supply. It is Scenario Zero because it runs beneath every other scenario on this map, amplifying mortality rates, compressing recovery timelines, and degrading the biological capacity of the population that would otherwise survive and rebuild.</w:t>
      </w:r>
    </w:p>
    <w:p>
      <w:pPr>
        <w:spacing w:after="80" w:before="0"/>
      </w:pPr>
    </w:p>
    <w:p>
      <w:pPr>
        <w:spacing w:after="80" w:before="80" w:line="280"/>
        <w:jc w:val="both"/>
      </w:pPr>
      <w:r>
        <w:rPr>
          <w:rFonts w:ascii="Georgia" w:cs="Georgia" w:eastAsia="Georgia" w:hAnsi="Georgia"/>
          <w:sz w:val="22"/>
          <w:szCs w:val="22"/>
        </w:rPr>
        <w:t xml:space="preserve">We have intervened in what was an already optimized biological system — one that took billions of years of evolutionary pressure to calibrate — and we have done so faster than we have been able to assess the consequences. We are now in the phase of trying to catch up to the damage.</w:t>
      </w:r>
    </w:p>
    <w:p>
      <w:pPr>
        <w:spacing w:after="120" w:before="0"/>
      </w:pPr>
    </w:p>
    <w:p>
      <w:pPr>
        <w:pStyle w:val="Heading2"/>
        <w:spacing w:after="100" w:before="240"/>
      </w:pPr>
      <w:r>
        <w:rPr>
          <w:rFonts w:ascii="Georgia" w:cs="Georgia" w:eastAsia="Georgia" w:hAnsi="Georgia"/>
          <w:b/>
          <w:bCs/>
          <w:color w:val="2E5F8A"/>
          <w:sz w:val="26"/>
          <w:szCs w:val="26"/>
        </w:rPr>
        <w:t xml:space="preserve">1.1  Soil Mineral Depletion</w:t>
      </w:r>
    </w:p>
    <w:p>
      <w:pPr>
        <w:spacing w:after="80" w:before="80" w:line="280"/>
        <w:jc w:val="both"/>
      </w:pPr>
      <w:r>
        <w:rPr>
          <w:rFonts w:ascii="Georgia" w:cs="Georgia" w:eastAsia="Georgia" w:hAnsi="Georgia"/>
          <w:sz w:val="22"/>
          <w:szCs w:val="22"/>
        </w:rPr>
        <w:t xml:space="preserve">Industrial monoculture agriculture has stripped topsoil of the mineral complexity that took geological timescales to construct. A systematic review of USDA nutritional data between 1950 and 1999 found declines of 6–38% across six major nutrients in 43 garden crops.</w:t>
      </w:r>
      <w:r>
        <w:rPr>
          <w:rFonts w:ascii="Georgia" w:cs="Georgia" w:eastAsia="Georgia" w:hAnsi="Georgia"/>
          <w:sz w:val="16"/>
          <w:szCs w:val="16"/>
          <w:vertAlign w:val="superscript"/>
        </w:rPr>
        <w:t xml:space="preserve">[1]</w:t>
      </w:r>
      <w:r>
        <w:rPr>
          <w:rFonts w:ascii="Georgia" w:cs="Georgia" w:eastAsia="Georgia" w:hAnsi="Georgia"/>
          <w:sz w:val="22"/>
          <w:szCs w:val="22"/>
        </w:rPr>
        <w:t xml:space="preserve"> Selenium, magnesium, zinc, and iodine — all essential to immune function, thyroid regulation, and neurological development — are in measurable freefall in commercially grown produce. The nutritional density of food grown in living, mineral-rich soil versus chemically fertilized dead substrate is not comparable. We are feeding a civilization on the caloric shadow of what food once was.</w:t>
      </w:r>
    </w:p>
    <w:p>
      <w:pPr>
        <w:spacing w:after="80" w:before="0"/>
      </w:pPr>
    </w:p>
    <w:p>
      <w:pPr>
        <w:spacing w:after="80" w:before="80" w:line="280"/>
        <w:jc w:val="both"/>
      </w:pPr>
      <w:r>
        <w:rPr>
          <w:rFonts w:ascii="Georgia" w:cs="Georgia" w:eastAsia="Georgia" w:hAnsi="Georgia"/>
          <w:sz w:val="22"/>
          <w:szCs w:val="22"/>
        </w:rPr>
        <w:t xml:space="preserve">Topsoil formation requires approximately 500 years per inch under natural conditions. Industrial agriculture depletes it at rates estimated at 10 to 40 times its natural regeneration rate. At current trajectories, multiple major agricultural regions face topsoil exhaustion within 50–150 years — before most acute extinction scenarios even arrive.</w:t>
      </w:r>
    </w:p>
    <w:p>
      <w:pPr>
        <w:spacing w:after="120" w:before="0"/>
      </w:pPr>
    </w:p>
    <w:p>
      <w:pPr>
        <w:pStyle w:val="Heading2"/>
        <w:spacing w:after="100" w:before="240"/>
      </w:pPr>
      <w:r>
        <w:rPr>
          <w:rFonts w:ascii="Georgia" w:cs="Georgia" w:eastAsia="Georgia" w:hAnsi="Georgia"/>
          <w:b/>
          <w:bCs/>
          <w:color w:val="2E5F8A"/>
          <w:sz w:val="26"/>
          <w:szCs w:val="26"/>
        </w:rPr>
        <w:t xml:space="preserve">1.2  Microbiome Disruption</w:t>
      </w:r>
    </w:p>
    <w:p>
      <w:pPr>
        <w:spacing w:after="80" w:before="80" w:line="280"/>
        <w:jc w:val="both"/>
      </w:pPr>
      <w:r>
        <w:rPr>
          <w:rFonts w:ascii="Georgia" w:cs="Georgia" w:eastAsia="Georgia" w:hAnsi="Georgia"/>
          <w:sz w:val="22"/>
          <w:szCs w:val="22"/>
        </w:rPr>
        <w:t xml:space="preserve">The human gut microbiome — comprising an estimated 38 trillion microorganisms — functions as a co-evolved immune system, neurotransmitter factory, and metabolic regulator.</w:t>
      </w:r>
      <w:r>
        <w:rPr>
          <w:rFonts w:ascii="Georgia" w:cs="Georgia" w:eastAsia="Georgia" w:hAnsi="Georgia"/>
          <w:sz w:val="16"/>
          <w:szCs w:val="16"/>
          <w:vertAlign w:val="superscript"/>
        </w:rPr>
        <w:t xml:space="preserve">[2]</w:t>
      </w:r>
      <w:r>
        <w:rPr>
          <w:rFonts w:ascii="Georgia" w:cs="Georgia" w:eastAsia="Georgia" w:hAnsi="Georgia"/>
          <w:sz w:val="22"/>
          <w:szCs w:val="22"/>
        </w:rPr>
        <w:t xml:space="preserve"> Glyphosate, the world's most widely used herbicide, functions as a broad-spectrum antimicrobial through its inhibition of the shikimate pathway — a pathway present in gut bacteria but absent in human cells.</w:t>
      </w:r>
      <w:r>
        <w:rPr>
          <w:rFonts w:ascii="Georgia" w:cs="Georgia" w:eastAsia="Georgia" w:hAnsi="Georgia"/>
          <w:sz w:val="16"/>
          <w:szCs w:val="16"/>
          <w:vertAlign w:val="superscript"/>
        </w:rPr>
        <w:t xml:space="preserve">[3]</w:t>
      </w:r>
      <w:r>
        <w:rPr>
          <w:rFonts w:ascii="Georgia" w:cs="Georgia" w:eastAsia="Georgia" w:hAnsi="Georgia"/>
          <w:sz w:val="22"/>
          <w:szCs w:val="22"/>
        </w:rPr>
        <w:t xml:space="preserve"> Broad-spectrum antibiotic use in livestock (representing approximately 73% of all antibiotic consumption globally</w:t>
      </w:r>
      <w:r>
        <w:rPr>
          <w:rFonts w:ascii="Georgia" w:cs="Georgia" w:eastAsia="Georgia" w:hAnsi="Georgia"/>
          <w:sz w:val="16"/>
          <w:szCs w:val="16"/>
          <w:vertAlign w:val="superscript"/>
        </w:rPr>
        <w:t xml:space="preserve">[4]</w:t>
      </w:r>
      <w:r>
        <w:rPr>
          <w:rFonts w:ascii="Georgia" w:cs="Georgia" w:eastAsia="Georgia" w:hAnsi="Georgia"/>
          <w:sz w:val="22"/>
          <w:szCs w:val="22"/>
        </w:rPr>
        <w:t xml:space="preserve">) creates resistant strains while contaminating water and soil systems. The result is a population-wide microbiome disruption that degrades immune resilience, increases inflammatory baseline, and impairs the neurological function required to navigate and survive any catastrophe scenario.</w:t>
      </w:r>
    </w:p>
    <w:p>
      <w:pPr>
        <w:spacing w:after="120" w:before="0"/>
      </w:pPr>
    </w:p>
    <w:p>
      <w:pPr>
        <w:pStyle w:val="Heading2"/>
        <w:spacing w:after="100" w:before="240"/>
      </w:pPr>
      <w:r>
        <w:rPr>
          <w:rFonts w:ascii="Georgia" w:cs="Georgia" w:eastAsia="Georgia" w:hAnsi="Georgia"/>
          <w:b/>
          <w:bCs/>
          <w:color w:val="2E5F8A"/>
          <w:sz w:val="26"/>
          <w:szCs w:val="26"/>
        </w:rPr>
        <w:t xml:space="preserve">1.3  Water Quality Collapse</w:t>
      </w:r>
    </w:p>
    <w:p>
      <w:pPr>
        <w:spacing w:after="80" w:before="80" w:line="280"/>
        <w:jc w:val="both"/>
      </w:pPr>
      <w:r>
        <w:rPr>
          <w:rFonts w:ascii="Georgia" w:cs="Georgia" w:eastAsia="Georgia" w:hAnsi="Georgia"/>
          <w:sz w:val="22"/>
          <w:szCs w:val="22"/>
        </w:rPr>
        <w:t xml:space="preserve">PFAS (per- and polyfluoroalkyl substances) have been detected in drinking water sources serving an estimated 200 million Americans alone.</w:t>
      </w:r>
      <w:r>
        <w:rPr>
          <w:rFonts w:ascii="Georgia" w:cs="Georgia" w:eastAsia="Georgia" w:hAnsi="Georgia"/>
          <w:sz w:val="16"/>
          <w:szCs w:val="16"/>
          <w:vertAlign w:val="superscript"/>
        </w:rPr>
        <w:t xml:space="preserve">[5]</w:t>
      </w:r>
      <w:r>
        <w:rPr>
          <w:rFonts w:ascii="Georgia" w:cs="Georgia" w:eastAsia="Georgia" w:hAnsi="Georgia"/>
          <w:sz w:val="22"/>
          <w:szCs w:val="22"/>
        </w:rPr>
        <w:t xml:space="preserve"> They are present in Arctic ice cores, in the blood of polar bears, in human umbilical cord blood, and in rainwater collected above the Tibetan Plateau.</w:t>
      </w:r>
      <w:r>
        <w:rPr>
          <w:rFonts w:ascii="Georgia" w:cs="Georgia" w:eastAsia="Georgia" w:hAnsi="Georgia"/>
          <w:sz w:val="16"/>
          <w:szCs w:val="16"/>
          <w:vertAlign w:val="superscript"/>
        </w:rPr>
        <w:t xml:space="preserve">[6]</w:t>
      </w:r>
      <w:r>
        <w:rPr>
          <w:rFonts w:ascii="Georgia" w:cs="Georgia" w:eastAsia="Georgia" w:hAnsi="Georgia"/>
          <w:sz w:val="22"/>
          <w:szCs w:val="22"/>
        </w:rPr>
        <w:t xml:space="preserve"> There is no longer a pristine hydrological baseline on Earth. Pharmaceutical runoff — hormones, antidepressants, antibiotics — creates chronic low-dose chemical exposure across entire watersheds. Microplastics have been detected in human lung tissue, placental tissue, and breast milk.</w:t>
      </w:r>
      <w:r>
        <w:rPr>
          <w:rFonts w:ascii="Georgia" w:cs="Georgia" w:eastAsia="Georgia" w:hAnsi="Georgia"/>
          <w:sz w:val="16"/>
          <w:szCs w:val="16"/>
          <w:vertAlign w:val="superscript"/>
        </w:rPr>
        <w:t xml:space="preserve">[7]</w:t>
      </w:r>
      <w:r>
        <w:rPr>
          <w:rFonts w:ascii="Georgia" w:cs="Georgia" w:eastAsia="Georgia" w:hAnsi="Georgia"/>
          <w:sz w:val="22"/>
          <w:szCs w:val="22"/>
        </w:rPr>
        <w:t xml:space="preserve"> The hydrosphere is no longer a clean baseline. It is a chronic toxin delivery system.</w:t>
      </w:r>
    </w:p>
    <w:p>
      <w:pPr>
        <w:spacing w:after="120" w:before="0"/>
      </w:pPr>
    </w:p>
    <w:p>
      <w:pPr>
        <w:pStyle w:val="Heading2"/>
        <w:spacing w:after="100" w:before="240"/>
      </w:pPr>
      <w:r>
        <w:rPr>
          <w:rFonts w:ascii="Georgia" w:cs="Georgia" w:eastAsia="Georgia" w:hAnsi="Georgia"/>
          <w:b/>
          <w:bCs/>
          <w:color w:val="2E5F8A"/>
          <w:sz w:val="26"/>
          <w:szCs w:val="26"/>
        </w:rPr>
        <w:t xml:space="preserve">1.4  Atmospheric Degradation</w:t>
      </w:r>
    </w:p>
    <w:p>
      <w:pPr>
        <w:spacing w:after="80" w:before="80" w:line="280"/>
        <w:jc w:val="both"/>
      </w:pPr>
      <w:r>
        <w:rPr>
          <w:rFonts w:ascii="Georgia" w:cs="Georgia" w:eastAsia="Georgia" w:hAnsi="Georgia"/>
          <w:sz w:val="22"/>
          <w:szCs w:val="22"/>
        </w:rPr>
        <w:t xml:space="preserve">The World Health Organization estimates that 99% of the global population breathes air that exceeds its air quality guidelines.</w:t>
      </w:r>
      <w:r>
        <w:rPr>
          <w:rFonts w:ascii="Georgia" w:cs="Georgia" w:eastAsia="Georgia" w:hAnsi="Georgia"/>
          <w:sz w:val="16"/>
          <w:szCs w:val="16"/>
          <w:vertAlign w:val="superscript"/>
        </w:rPr>
        <w:t xml:space="preserve">[8]</w:t>
      </w:r>
      <w:r>
        <w:rPr>
          <w:rFonts w:ascii="Georgia" w:cs="Georgia" w:eastAsia="Georgia" w:hAnsi="Georgia"/>
          <w:sz w:val="22"/>
          <w:szCs w:val="22"/>
        </w:rPr>
        <w:t xml:space="preserve"> Fine particulate matter (PM2.5) is associated with cardiovascular disease, neurological impairment, and immune suppression. Agricultural spray drift introduces herbicide and pesticide residues into air columns hundreds of kilometres from application sites. PFAS compounds have been detected in atmospheric particulate matter globally. Clean air — the baseline biological requirement for cognitive function and immune competence — is now a privilege of geography, not a universal condition.</w:t>
      </w:r>
    </w:p>
    <w:p>
      <w:pPr>
        <w:spacing w:after="120" w:before="0"/>
      </w:pPr>
    </w:p>
    <w:p>
      <w:pPr>
        <w:pStyle w:val="Heading2"/>
        <w:spacing w:after="100" w:before="240"/>
      </w:pPr>
      <w:r>
        <w:rPr>
          <w:rFonts w:ascii="Georgia" w:cs="Georgia" w:eastAsia="Georgia" w:hAnsi="Georgia"/>
          <w:b/>
          <w:bCs/>
          <w:color w:val="2E5F8A"/>
          <w:sz w:val="26"/>
          <w:szCs w:val="26"/>
        </w:rPr>
        <w:t xml:space="preserve">1.5  Seed System Genetic Erosion</w:t>
      </w:r>
    </w:p>
    <w:p>
      <w:pPr>
        <w:spacing w:after="80" w:before="80" w:line="280"/>
        <w:jc w:val="both"/>
      </w:pPr>
      <w:r>
        <w:rPr>
          <w:rFonts w:ascii="Georgia" w:cs="Georgia" w:eastAsia="Georgia" w:hAnsi="Georgia"/>
          <w:sz w:val="22"/>
          <w:szCs w:val="22"/>
        </w:rPr>
        <w:t xml:space="preserve">An estimated 75% of plant genetic diversity was lost in the 20th century as commercial varieties replaced traditional landraces.</w:t>
      </w:r>
      <w:r>
        <w:rPr>
          <w:rFonts w:ascii="Georgia" w:cs="Georgia" w:eastAsia="Georgia" w:hAnsi="Georgia"/>
          <w:sz w:val="16"/>
          <w:szCs w:val="16"/>
          <w:vertAlign w:val="superscript"/>
        </w:rPr>
        <w:t xml:space="preserve">[9]</w:t>
      </w:r>
      <w:r>
        <w:rPr>
          <w:rFonts w:ascii="Georgia" w:cs="Georgia" w:eastAsia="Georgia" w:hAnsi="Georgia"/>
          <w:sz w:val="22"/>
          <w:szCs w:val="22"/>
        </w:rPr>
        <w:t xml:space="preserve"> The ten crops that provide 90% of human caloric intake are now dominated by a small number of commercial varieties optimized for yield under current conditions, not resilience under stress conditions. When — not if — a novel pathogen or climate shift hits a monoculture crop, there is no resilient genetic backup. The Irish Potato Famine was a preview: a single pathogen in a monoculture eliminated a civilization's primary caloric source and killed one million people. The modern version of that event operates at global scale with no comparable redundancy.</w:t>
      </w:r>
    </w:p>
    <w:p>
      <w:pPr>
        <w:spacing w:after="120" w:before="0"/>
      </w:pPr>
    </w:p>
    <w:p>
      <w:pPr>
        <w:pStyle w:val="Heading2"/>
        <w:spacing w:after="100" w:before="240"/>
      </w:pPr>
      <w:r>
        <w:rPr>
          <w:rFonts w:ascii="Georgia" w:cs="Georgia" w:eastAsia="Georgia" w:hAnsi="Georgia"/>
          <w:b/>
          <w:bCs/>
          <w:color w:val="2E5F8A"/>
          <w:sz w:val="26"/>
          <w:szCs w:val="26"/>
        </w:rPr>
        <w:t xml:space="preserve">1.6  The Cascade Multiplier Effect</w:t>
      </w:r>
    </w:p>
    <w:p>
      <w:pPr>
        <w:spacing w:after="80" w:before="80" w:line="280"/>
        <w:jc w:val="both"/>
      </w:pPr>
      <w:r>
        <w:rPr>
          <w:rFonts w:ascii="Georgia" w:cs="Georgia" w:eastAsia="Georgia" w:hAnsi="Georgia"/>
          <w:sz w:val="22"/>
          <w:szCs w:val="22"/>
        </w:rPr>
        <w:t xml:space="preserve">Scenario Zero's defining characteristic is not its standalone lethality — it is its cascade multiplier effect on every other scenario in this Codex. A population already running on mineral-deficient nutrition, compromised immune function, contaminated water, degraded air quality, and reduced genetic diversity in its food supply will:</w:t>
      </w:r>
    </w:p>
    <w:p>
      <w:pPr>
        <w:spacing w:after="60" w:before="0"/>
      </w:pPr>
    </w:p>
    <w:p>
      <w:pPr>
        <w:pStyle w:val="ListParagraph"/>
        <w:numPr>
          <w:ilvl w:val="0"/>
          <w:numId w:val="2"/>
        </w:numPr>
      </w:pPr>
      <w:r>
        <w:rPr>
          <w:rFonts w:ascii="Georgia" w:cs="Georgia" w:eastAsia="Georgia" w:hAnsi="Georgia"/>
          <w:sz w:val="22"/>
          <w:szCs w:val="22"/>
        </w:rPr>
        <w:t xml:space="preserve">Collapse faster and harder under any acute mortality event</w:t>
      </w:r>
    </w:p>
    <w:p>
      <w:pPr>
        <w:pStyle w:val="ListParagraph"/>
        <w:numPr>
          <w:ilvl w:val="0"/>
          <w:numId w:val="2"/>
        </w:numPr>
      </w:pPr>
      <w:r>
        <w:rPr>
          <w:rFonts w:ascii="Georgia" w:cs="Georgia" w:eastAsia="Georgia" w:hAnsi="Georgia"/>
          <w:sz w:val="22"/>
          <w:szCs w:val="22"/>
        </w:rPr>
        <w:t xml:space="preserve">Require longer to rebuild cognitive and physical capacity for recovery</w:t>
      </w:r>
    </w:p>
    <w:p>
      <w:pPr>
        <w:pStyle w:val="ListParagraph"/>
        <w:numPr>
          <w:ilvl w:val="0"/>
          <w:numId w:val="2"/>
        </w:numPr>
      </w:pPr>
      <w:r>
        <w:rPr>
          <w:rFonts w:ascii="Georgia" w:cs="Georgia" w:eastAsia="Georgia" w:hAnsi="Georgia"/>
          <w:sz w:val="22"/>
          <w:szCs w:val="22"/>
        </w:rPr>
        <w:t xml:space="preserve">Produce weaker immune responses to novel pathogens (amplifying A1, A3)</w:t>
      </w:r>
    </w:p>
    <w:p>
      <w:pPr>
        <w:pStyle w:val="ListParagraph"/>
        <w:numPr>
          <w:ilvl w:val="0"/>
          <w:numId w:val="2"/>
        </w:numPr>
      </w:pPr>
      <w:r>
        <w:rPr>
          <w:rFonts w:ascii="Georgia" w:cs="Georgia" w:eastAsia="Georgia" w:hAnsi="Georgia"/>
          <w:sz w:val="22"/>
          <w:szCs w:val="22"/>
        </w:rPr>
        <w:t xml:space="preserve">Sustain higher baseline mortality that compounds all other death tolls</w:t>
      </w:r>
    </w:p>
    <w:p>
      <w:pPr>
        <w:pStyle w:val="ListParagraph"/>
        <w:numPr>
          <w:ilvl w:val="0"/>
          <w:numId w:val="2"/>
        </w:numPr>
      </w:pPr>
      <w:r>
        <w:rPr>
          <w:rFonts w:ascii="Georgia" w:cs="Georgia" w:eastAsia="Georgia" w:hAnsi="Georgia"/>
          <w:sz w:val="22"/>
          <w:szCs w:val="22"/>
        </w:rPr>
        <w:t xml:space="preserve">Reach civilizational scientific recovery (T_sci) later, extending every environmental remediation timeline</w:t>
      </w:r>
    </w:p>
    <w:p>
      <w:pPr>
        <w:spacing w:after="80" w:before="0"/>
      </w:pPr>
    </w:p>
    <w:p>
      <w:pPr>
        <w:spacing w:after="80" w:before="80" w:line="280"/>
        <w:jc w:val="both"/>
      </w:pPr>
      <w:r>
        <w:rPr>
          <w:rFonts w:ascii="Georgia" w:cs="Georgia" w:eastAsia="Georgia" w:hAnsi="Georgia"/>
          <w:sz w:val="22"/>
          <w:szCs w:val="22"/>
        </w:rPr>
        <w:t xml:space="preserve">Scenario Zero is not the dramatic end. It is the rising water that makes every other fire harder to fight.</w:t>
      </w:r>
    </w:p>
    <w:p>
      <w:r>
        <w:br w:type="page"/>
      </w:r>
    </w:p>
    <w:p>
      <w:pPr>
        <w:spacing w:after="300" w:before="0"/>
      </w:pPr>
    </w:p>
    <w:p>
      <w:pPr>
        <w:pBdr>
          <w:bottom w:val="single" w:color="0D1F3C" w:sz="12" w:space="2"/>
        </w:pBdr>
        <w:spacing w:after="40" w:before="0"/>
        <w:jc w:val="center"/>
      </w:pPr>
      <w:r>
        <w:rPr>
          <w:rFonts w:ascii="Georgia" w:cs="Georgia" w:eastAsia="Georgia" w:hAnsi="Georgia"/>
          <w:b/>
          <w:bCs/>
          <w:color w:val="0D1F3C"/>
          <w:sz w:val="52"/>
          <w:szCs w:val="52"/>
        </w:rPr>
        <w:t xml:space="preserve">PART II — THE COMPLETE THREAT REGISTER
28 Pathways to Civilizational Collapse or Extinction</w:t>
      </w:r>
    </w:p>
    <w:p>
      <w:pPr>
        <w:spacing w:after="20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How to Read This Register</w:t>
      </w:r>
    </w:p>
    <w:p>
      <w:pPr>
        <w:spacing w:after="80" w:before="80" w:line="280"/>
        <w:jc w:val="both"/>
      </w:pPr>
      <w:r>
        <w:rPr>
          <w:rFonts w:ascii="Georgia" w:cs="Georgia" w:eastAsia="Georgia" w:hAnsi="Georgia"/>
          <w:sz w:val="22"/>
          <w:szCs w:val="22"/>
        </w:rPr>
        <w:t xml:space="preserve">Each scenario is assessed across five dimensions:</w:t>
      </w:r>
    </w:p>
    <w:p>
      <w:pPr>
        <w:spacing w:after="6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mortality produced by this event in isolation</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degree to which this event amplifies other scenarios (1–10 scale)</w:t>
      </w:r>
    </w:p>
    <w:p>
      <w:pPr>
        <w:pStyle w:val="ListParagraph"/>
        <w:numPr>
          <w:ilvl w:val="0"/>
          <w:numId w:val="2"/>
        </w:numPr>
      </w:pPr>
      <w:r>
        <w:rPr>
          <w:rFonts w:ascii="Georgia" w:cs="Georgia" w:eastAsia="Georgia" w:hAnsi="Georgia"/>
          <w:b/>
          <w:bCs/>
          <w:sz w:val="22"/>
          <w:szCs w:val="22"/>
        </w:rPr>
        <w:t xml:space="preserve">Recovery Interference Score: </w:t>
      </w:r>
      <w:r>
        <w:rPr>
          <w:rFonts w:ascii="Georgia" w:cs="Georgia" w:eastAsia="Georgia" w:hAnsi="Georgia"/>
          <w:sz w:val="22"/>
          <w:szCs w:val="22"/>
        </w:rPr>
        <w:t xml:space="preserve">degree to which this event damages humanity's capacity to recover from anything (1–10 scale)</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from trigger event to civilizational effect</w:t>
      </w:r>
    </w:p>
    <w:p>
      <w:pPr>
        <w:pStyle w:val="ListParagraph"/>
        <w:numPr>
          <w:ilvl w:val="0"/>
          <w:numId w:val="2"/>
        </w:numPr>
      </w:pPr>
      <w:r>
        <w:rPr>
          <w:rFonts w:ascii="Georgia" w:cs="Georgia" w:eastAsia="Georgia" w:hAnsi="Georgia"/>
          <w:b/>
          <w:bCs/>
          <w:sz w:val="22"/>
          <w:szCs w:val="22"/>
        </w:rPr>
        <w:t xml:space="preserve">Tier Classification: </w:t>
      </w:r>
      <w:r>
        <w:rPr>
          <w:rFonts w:ascii="Georgia" w:cs="Georgia" w:eastAsia="Georgia" w:hAnsi="Georgia"/>
          <w:sz w:val="22"/>
          <w:szCs w:val="22"/>
        </w:rPr>
        <w:t xml:space="preserve">I (Recoverable), II (Partially Recoverable), III (Generationally Irreversible), IV (Extinction-Level)</w:t>
      </w:r>
    </w:p>
    <w:p>
      <w:pPr>
        <w:spacing w:after="80" w:before="0"/>
      </w:pPr>
    </w:p>
    <w:p>
      <w:pPr>
        <w:spacing w:after="80" w:before="80" w:line="280"/>
        <w:jc w:val="both"/>
      </w:pPr>
      <w:r>
        <w:rPr>
          <w:rFonts w:ascii="Georgia" w:cs="Georgia" w:eastAsia="Georgia" w:hAnsi="Georgia"/>
          <w:sz w:val="22"/>
          <w:szCs w:val="22"/>
        </w:rPr>
        <w:t xml:space="preserve">Scenarios are organized by category. Cross-references indicate known interaction pathways between scenarios.</w:t>
      </w:r>
    </w:p>
    <w:p>
      <w:pPr>
        <w:spacing w:after="12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CATEGORY A — BIOLOGICAL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A1</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Engineered Pandemic — Biological Weapons Exceeding Containment Velocity</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IV</w:t>
            </w:r>
          </w:p>
        </w:tc>
      </w:tr>
    </w:tbl>
    <w:p>
      <w:pPr>
        <w:spacing w:after="80" w:before="0"/>
      </w:pPr>
    </w:p>
    <w:p>
      <w:pPr>
        <w:spacing w:after="80" w:before="80" w:line="280"/>
        <w:jc w:val="both"/>
      </w:pPr>
      <w:r>
        <w:rPr>
          <w:rFonts w:ascii="Georgia" w:cs="Georgia" w:eastAsia="Georgia" w:hAnsi="Georgia"/>
          <w:sz w:val="22"/>
          <w:szCs w:val="22"/>
        </w:rPr>
        <w:t xml:space="preserve">Of all scenarios in this register, A1 represents the most asymmetric threat relative to our current preparedness posture. Natural pandemics are self-limiting: pathogens that kill hosts too rapidly lose transmission vectors; those that transmit readily tend toward lower lethality over evolutionary time. Gain-of-function research — the deliberate engineering of enhanced pathogen characteristics — can theoretically break both constraints simultaneously.</w:t>
      </w:r>
      <w:r>
        <w:rPr>
          <w:rFonts w:ascii="Georgia" w:cs="Georgia" w:eastAsia="Georgia" w:hAnsi="Georgia"/>
          <w:sz w:val="16"/>
          <w:szCs w:val="16"/>
          <w:vertAlign w:val="superscript"/>
        </w:rPr>
        <w:t xml:space="preserve">[10]</w:t>
      </w:r>
    </w:p>
    <w:p>
      <w:pPr>
        <w:spacing w:after="80" w:before="0"/>
      </w:pPr>
    </w:p>
    <w:p>
      <w:pPr>
        <w:spacing w:after="80" w:before="80" w:line="280"/>
        <w:jc w:val="both"/>
      </w:pPr>
      <w:r>
        <w:rPr>
          <w:rFonts w:ascii="Georgia" w:cs="Georgia" w:eastAsia="Georgia" w:hAnsi="Georgia"/>
          <w:sz w:val="22"/>
          <w:szCs w:val="22"/>
        </w:rPr>
        <w:t xml:space="preserve">An engineered pathogen optimized for high transmissibility (R</w:t>
      </w:r>
      <w:r>
        <w:rPr>
          <w:rFonts w:ascii="Georgia" w:cs="Georgia" w:eastAsia="Georgia" w:hAnsi="Georgia"/>
          <w:sz w:val="16"/>
          <w:szCs w:val="16"/>
          <w:vertAlign w:val="subscript"/>
        </w:rPr>
        <w:t xml:space="preserve">0</w:t>
      </w:r>
      <w:r>
        <w:rPr>
          <w:rFonts w:ascii="Georgia" w:cs="Georgia" w:eastAsia="Georgia" w:hAnsi="Georgia"/>
          <w:sz w:val="22"/>
          <w:szCs w:val="22"/>
        </w:rPr>
        <w:t xml:space="preserve"> &gt; 8), high lethality (IFR &gt; 60%), and extended incubation (&gt; 21 days, enabling pre-symptomatic spread across multiple continents before detection) would outpace every containment protocol currently in existence. Vaccine development timelines of 12–18 months become irrelevant when 60% mortality occurs within 90 days of exposure. The global pharmaceutical supply chain collapses as workforces die. Healthcare systems fail simultaneously worldwide.</w:t>
      </w:r>
    </w:p>
    <w:p>
      <w:pPr>
        <w:spacing w:after="80" w:before="0"/>
      </w:pPr>
    </w:p>
    <w:p>
      <w:pPr>
        <w:spacing w:after="80" w:before="80" w:line="280"/>
        <w:jc w:val="both"/>
      </w:pPr>
      <w:r>
        <w:rPr>
          <w:rFonts w:ascii="Georgia" w:cs="Georgia" w:eastAsia="Georgia" w:hAnsi="Georgia"/>
          <w:sz w:val="22"/>
          <w:szCs w:val="22"/>
        </w:rPr>
        <w:t xml:space="preserve">The critical variable distinguishing A1 from natural pandemic emergence is intentionality: an engineered weapon can be designed to defeat specific medical countermeasures, to target specific genetic populations, and to be released in a manner that maximizes spread before detection. The 2019–2023 SARS-CoV-2 pandemic demonstrated that even a moderate-lethality pathogen with modest R₀ could disable global supply chains, collapse healthcare capacity in developed nations, and kill 15–20 million people before adaptive response could be mounted. Scale those parameters by deliberate engineering optimization and the arithmetic of survival changes fundamentally.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F8A" w:sz="4"/>
              <w:left w:val="single" w:color="2E5F8A" w:sz="4"/>
              <w:bottom w:val="single" w:color="2E5F8A" w:sz="4"/>
              <w:right w:val="single" w:color="2E5F8A" w:sz="4"/>
            </w:tcBorders>
            <w:shd w:fill="0D1F3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Parameter</w:t>
            </w:r>
          </w:p>
        </w:tc>
        <w:tc>
          <w:tcPr>
            <w:tcW w:type="dxa" w:w="3480"/>
            <w:tcBorders>
              <w:top w:val="single" w:color="2E5F8A" w:sz="4"/>
              <w:left w:val="single" w:color="2E5F8A" w:sz="4"/>
              <w:bottom w:val="single" w:color="2E5F8A" w:sz="4"/>
              <w:right w:val="single" w:color="2E5F8A" w:sz="4"/>
            </w:tcBorders>
            <w:shd w:fill="0D1F3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Natural Pandemic (Reference)</w:t>
            </w:r>
          </w:p>
        </w:tc>
        <w:tc>
          <w:tcPr>
            <w:tcW w:type="dxa" w:w="3480"/>
            <w:tcBorders>
              <w:top w:val="single" w:color="2E5F8A" w:sz="4"/>
              <w:left w:val="single" w:color="2E5F8A" w:sz="4"/>
              <w:bottom w:val="single" w:color="2E5F8A" w:sz="4"/>
              <w:right w:val="single" w:color="2E5F8A" w:sz="4"/>
            </w:tcBorders>
            <w:shd w:fill="0D1F3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Engineered Worst Case</w:t>
            </w:r>
          </w:p>
        </w:tc>
      </w:tr>
      <w:tr>
        <w:tc>
          <w:tcPr>
            <w:tcW w:type="dxa" w:w="24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R₀ (basic reproduction number)</w:t>
            </w:r>
          </w:p>
        </w:tc>
        <w:tc>
          <w:tcPr>
            <w:tcW w:type="dxa" w:w="34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2–3 (COVID-19)</w:t>
            </w:r>
          </w:p>
        </w:tc>
        <w:tc>
          <w:tcPr>
            <w:tcW w:type="dxa" w:w="34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&gt; 8 (engineered)</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Infection Fatality Rate</w:t>
            </w:r>
          </w:p>
        </w:tc>
        <w:tc>
          <w:tcPr>
            <w:tcW w:type="dxa" w:w="348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0.5–1.5% (COVID-19)</w:t>
            </w:r>
          </w:p>
        </w:tc>
        <w:tc>
          <w:tcPr>
            <w:tcW w:type="dxa" w:w="348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&gt; 60% (theoretical max)</w:t>
            </w:r>
          </w:p>
        </w:tc>
      </w:tr>
      <w:tr>
        <w:tc>
          <w:tcPr>
            <w:tcW w:type="dxa" w:w="24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Incubation period</w:t>
            </w:r>
          </w:p>
        </w:tc>
        <w:tc>
          <w:tcPr>
            <w:tcW w:type="dxa" w:w="34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5–14 days</w:t>
            </w:r>
          </w:p>
        </w:tc>
        <w:tc>
          <w:tcPr>
            <w:tcW w:type="dxa" w:w="34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21+ days (maximizes spread)</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Time to 1B infections</w:t>
            </w:r>
          </w:p>
        </w:tc>
        <w:tc>
          <w:tcPr>
            <w:tcW w:type="dxa" w:w="348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~12 months</w:t>
            </w:r>
          </w:p>
        </w:tc>
        <w:tc>
          <w:tcPr>
            <w:tcW w:type="dxa" w:w="348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&lt; 90 days</w:t>
            </w:r>
          </w:p>
        </w:tc>
      </w:tr>
      <w:tr>
        <w:tc>
          <w:tcPr>
            <w:tcW w:type="dxa" w:w="24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Vaccine development window</w:t>
            </w:r>
          </w:p>
        </w:tc>
        <w:tc>
          <w:tcPr>
            <w:tcW w:type="dxa" w:w="34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12–18 months</w:t>
            </w:r>
          </w:p>
        </w:tc>
        <w:tc>
          <w:tcPr>
            <w:tcW w:type="dxa" w:w="34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Irrelevant at &gt;60% IFR</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Estimated mortality</w:t>
            </w:r>
          </w:p>
        </w:tc>
        <w:tc>
          <w:tcPr>
            <w:tcW w:type="dxa" w:w="348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15–20M (COVID-19)</w:t>
            </w:r>
          </w:p>
        </w:tc>
        <w:tc>
          <w:tcPr>
            <w:tcW w:type="dxa" w:w="348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4–6 billion (worst case)</w:t>
            </w:r>
          </w:p>
        </w:tc>
      </w:tr>
    </w:tbl>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50–75% global mortality (worst engineered case)</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9/10 — collapses healthcare, supply chains, and governance simultaneously</w:t>
      </w:r>
    </w:p>
    <w:p>
      <w:pPr>
        <w:pStyle w:val="ListParagraph"/>
        <w:numPr>
          <w:ilvl w:val="0"/>
          <w:numId w:val="2"/>
        </w:numPr>
      </w:pPr>
      <w:r>
        <w:rPr>
          <w:rFonts w:ascii="Georgia" w:cs="Georgia" w:eastAsia="Georgia" w:hAnsi="Georgia"/>
          <w:b/>
          <w:bCs/>
          <w:sz w:val="22"/>
          <w:szCs w:val="22"/>
        </w:rPr>
        <w:t xml:space="preserve">Recovery Interference: </w:t>
      </w:r>
      <w:r>
        <w:rPr>
          <w:rFonts w:ascii="Georgia" w:cs="Georgia" w:eastAsia="Georgia" w:hAnsi="Georgia"/>
          <w:sz w:val="22"/>
          <w:szCs w:val="22"/>
        </w:rPr>
        <w:t xml:space="preserve">8/10 — surviving population biologically compromised; knowledge loss severe</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90–180 days from release to civilizational effect</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A2</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Biological Substrate Collapse — The Silent Accelerant</w:t>
            </w:r>
          </w:p>
        </w:tc>
        <w:tc>
          <w:tcPr>
            <w:tcW w:type="dxa" w:w="144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w:t>
            </w:r>
          </w:p>
        </w:tc>
      </w:tr>
    </w:tbl>
    <w:p>
      <w:pPr>
        <w:spacing w:after="80" w:before="0"/>
      </w:pPr>
    </w:p>
    <w:p>
      <w:pPr>
        <w:spacing w:after="80" w:before="80" w:line="280"/>
        <w:jc w:val="both"/>
      </w:pPr>
      <w:r>
        <w:rPr>
          <w:rFonts w:ascii="Georgia" w:cs="Georgia" w:eastAsia="Georgia" w:hAnsi="Georgia"/>
          <w:sz w:val="22"/>
          <w:szCs w:val="22"/>
        </w:rPr>
        <w:t xml:space="preserve">Detailed in Part I. Cross-references: all scenarios. Cascade multiplier: 10/10 by definition — it degrades the biological substrate that every other recovery depends upon.</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A3</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Natural Pandemic Emergence — Zoonotic Spillover</w:t>
            </w:r>
          </w:p>
        </w:tc>
        <w:tc>
          <w:tcPr>
            <w:tcW w:type="dxa" w:w="144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II–III</w:t>
            </w:r>
          </w:p>
        </w:tc>
      </w:tr>
    </w:tbl>
    <w:p>
      <w:pPr>
        <w:spacing w:after="80" w:before="0"/>
      </w:pPr>
    </w:p>
    <w:p>
      <w:pPr>
        <w:spacing w:after="80" w:before="80" w:line="280"/>
        <w:jc w:val="both"/>
      </w:pPr>
      <w:r>
        <w:rPr>
          <w:rFonts w:ascii="Georgia" w:cs="Georgia" w:eastAsia="Georgia" w:hAnsi="Georgia"/>
          <w:sz w:val="22"/>
          <w:szCs w:val="22"/>
        </w:rPr>
        <w:t xml:space="preserve">H5N1 avian influenza has maintained a case fatality rate of approximately 60% in confirmed human infections since 2003.</w:t>
      </w:r>
      <w:r>
        <w:rPr>
          <w:rFonts w:ascii="Georgia" w:cs="Georgia" w:eastAsia="Georgia" w:hAnsi="Georgia"/>
          <w:sz w:val="16"/>
          <w:szCs w:val="16"/>
          <w:vertAlign w:val="superscript"/>
        </w:rPr>
        <w:t xml:space="preserve">[11]</w:t>
      </w:r>
      <w:r>
        <w:rPr>
          <w:rFonts w:ascii="Georgia" w:cs="Georgia" w:eastAsia="Georgia" w:hAnsi="Georgia"/>
          <w:sz w:val="22"/>
          <w:szCs w:val="22"/>
        </w:rPr>
        <w:t xml:space="preserve"> It has not yet achieved sustained human-to-human transmission. When — not if — a mutation or reassortment event produces that capability, the result is a pathogen combining COVID-19's transmissibility with Ebola-scale lethality. Unlike A1, this is not theoretical: zoonotic spillover events are increasing in frequency as habitat destruction and wildlife trade expand human-animal interfaces.</w:t>
      </w:r>
      <w:r>
        <w:rPr>
          <w:rFonts w:ascii="Georgia" w:cs="Georgia" w:eastAsia="Georgia" w:hAnsi="Georgia"/>
          <w:sz w:val="16"/>
          <w:szCs w:val="16"/>
          <w:vertAlign w:val="superscript"/>
        </w:rPr>
        <w:t xml:space="preserve">[12]</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20–60% global mortality depending on transmissibility evolution</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8/10</w:t>
      </w:r>
    </w:p>
    <w:p>
      <w:pPr>
        <w:pStyle w:val="ListParagraph"/>
        <w:numPr>
          <w:ilvl w:val="0"/>
          <w:numId w:val="2"/>
        </w:numPr>
      </w:pPr>
      <w:r>
        <w:rPr>
          <w:rFonts w:ascii="Georgia" w:cs="Georgia" w:eastAsia="Georgia" w:hAnsi="Georgia"/>
          <w:b/>
          <w:bCs/>
          <w:sz w:val="22"/>
          <w:szCs w:val="22"/>
        </w:rPr>
        <w:t xml:space="preserve">Recovery Interference: </w:t>
      </w:r>
      <w:r>
        <w:rPr>
          <w:rFonts w:ascii="Georgia" w:cs="Georgia" w:eastAsia="Georgia" w:hAnsi="Georgia"/>
          <w:sz w:val="22"/>
          <w:szCs w:val="22"/>
        </w:rPr>
        <w:t xml:space="preserve">7/10</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6–24 months from emergence to global spread</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A4</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Antimicrobial Resistance Cascade</w:t>
            </w:r>
          </w:p>
        </w:tc>
        <w:tc>
          <w:tcPr>
            <w:tcW w:type="dxa" w:w="144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w:t>
            </w:r>
          </w:p>
        </w:tc>
      </w:tr>
    </w:tbl>
    <w:p>
      <w:pPr>
        <w:spacing w:after="80" w:before="0"/>
      </w:pPr>
    </w:p>
    <w:p>
      <w:pPr>
        <w:spacing w:after="80" w:before="80" w:line="280"/>
        <w:jc w:val="both"/>
      </w:pPr>
      <w:r>
        <w:rPr>
          <w:rFonts w:ascii="Georgia" w:cs="Georgia" w:eastAsia="Georgia" w:hAnsi="Georgia"/>
          <w:sz w:val="22"/>
          <w:szCs w:val="22"/>
        </w:rPr>
        <w:t xml:space="preserve">The WHO has identified antimicrobial resistance (AMR) as one of the top ten global public health threats.</w:t>
      </w:r>
      <w:r>
        <w:rPr>
          <w:rFonts w:ascii="Georgia" w:cs="Georgia" w:eastAsia="Georgia" w:hAnsi="Georgia"/>
          <w:sz w:val="16"/>
          <w:szCs w:val="16"/>
          <w:vertAlign w:val="superscript"/>
        </w:rPr>
        <w:t xml:space="preserve">[13]</w:t>
      </w:r>
      <w:r>
        <w:rPr>
          <w:rFonts w:ascii="Georgia" w:cs="Georgia" w:eastAsia="Georgia" w:hAnsi="Georgia"/>
          <w:sz w:val="22"/>
          <w:szCs w:val="22"/>
        </w:rPr>
        <w:t xml:space="preserve"> Current projections estimate 10 million annual deaths attributable to AMR by 2050 under business-as-usual trajectories.</w:t>
      </w:r>
      <w:r>
        <w:rPr>
          <w:rFonts w:ascii="Georgia" w:cs="Georgia" w:eastAsia="Georgia" w:hAnsi="Georgia"/>
          <w:sz w:val="16"/>
          <w:szCs w:val="16"/>
          <w:vertAlign w:val="superscript"/>
        </w:rPr>
        <w:t xml:space="preserve">[14]</w:t>
      </w:r>
      <w:r>
        <w:rPr>
          <w:rFonts w:ascii="Georgia" w:cs="Georgia" w:eastAsia="Georgia" w:hAnsi="Georgia"/>
          <w:sz w:val="22"/>
          <w:szCs w:val="22"/>
        </w:rPr>
        <w:t xml:space="preserve"> In the context of this Codex, AMR functions as a civilizational undermining agent: surgical procedures, cancer treatment, organ transplantation, childbirth, and routine infection treatment all become high-mortality events. AMR does not produce a dramatic extinction event — it steadily raises the baseline mortality floor, compressing the margin available to absorb any acute catastrophe.</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10M+ annual deaths by 2050; civilizational undermining rather than acute extinction</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7/10 — dramatically amplifies mortality in all other scenarios</w:t>
      </w:r>
    </w:p>
    <w:p>
      <w:pPr>
        <w:pStyle w:val="ListParagraph"/>
        <w:numPr>
          <w:ilvl w:val="0"/>
          <w:numId w:val="2"/>
        </w:numPr>
      </w:pPr>
      <w:r>
        <w:rPr>
          <w:rFonts w:ascii="Georgia" w:cs="Georgia" w:eastAsia="Georgia" w:hAnsi="Georgia"/>
          <w:b/>
          <w:bCs/>
          <w:sz w:val="22"/>
          <w:szCs w:val="22"/>
        </w:rPr>
        <w:t xml:space="preserve">Recovery Interference: </w:t>
      </w:r>
      <w:r>
        <w:rPr>
          <w:rFonts w:ascii="Georgia" w:cs="Georgia" w:eastAsia="Georgia" w:hAnsi="Georgia"/>
          <w:sz w:val="22"/>
          <w:szCs w:val="22"/>
        </w:rPr>
        <w:t xml:space="preserve">8/10 — makes post-catastrophe recovery medicine pre-antibiotic era medicine</w:t>
      </w:r>
    </w:p>
    <w:p>
      <w:pPr>
        <w:spacing w:after="12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CATEGORY B — COSMIC / ASTROPHYSICAL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B1</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Coronal Mass Ejection — Total Electronics Destruction</w:t>
            </w:r>
          </w:p>
        </w:tc>
        <w:tc>
          <w:tcPr>
            <w:tcW w:type="dxa" w:w="1440"/>
            <w:tcBorders>
              <w:top w:val="none" w:color="FFFFFF" w:sz="0"/>
              <w:left w:val="none" w:color="FFFFFF" w:sz="0"/>
              <w:bottom w:val="none" w:color="FFFFFF" w:sz="0"/>
              <w:right w:val="none" w:color="FFFFFF" w:sz="0"/>
            </w:tcBorders>
            <w:shd w:fill="2E5F8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w:t>
            </w:r>
          </w:p>
        </w:tc>
      </w:tr>
    </w:tbl>
    <w:p>
      <w:pPr>
        <w:spacing w:after="80" w:before="0"/>
      </w:pPr>
    </w:p>
    <w:p>
      <w:pPr>
        <w:spacing w:after="80" w:before="80" w:line="280"/>
        <w:jc w:val="both"/>
      </w:pPr>
      <w:r>
        <w:rPr>
          <w:rFonts w:ascii="Georgia" w:cs="Georgia" w:eastAsia="Georgia" w:hAnsi="Georgia"/>
          <w:sz w:val="22"/>
          <w:szCs w:val="22"/>
        </w:rPr>
        <w:t xml:space="preserve">The 1859 Carrington Event induced currents in telegraph lines sufficient to deliver electrical shocks and ignite fires. A comparable event today would destroy unshielded transformer infrastructure across power grids worldwide.</w:t>
      </w:r>
      <w:r>
        <w:rPr>
          <w:rFonts w:ascii="Georgia" w:cs="Georgia" w:eastAsia="Georgia" w:hAnsi="Georgia"/>
          <w:sz w:val="16"/>
          <w:szCs w:val="16"/>
          <w:vertAlign w:val="superscript"/>
        </w:rPr>
        <w:t xml:space="preserve">[15]</w:t>
      </w:r>
      <w:r>
        <w:rPr>
          <w:rFonts w:ascii="Georgia" w:cs="Georgia" w:eastAsia="Georgia" w:hAnsi="Georgia"/>
          <w:sz w:val="22"/>
          <w:szCs w:val="22"/>
        </w:rPr>
        <w:t xml:space="preserve"> A 2013 Lloyd's of London risk assessment estimated that a Carrington-scale CME striking Earth today would affect 20–40 million Americans for periods of 16 days to 2 years and cost $0.6–2.6 trillion in the United States alone.</w:t>
      </w:r>
      <w:r>
        <w:rPr>
          <w:rFonts w:ascii="Georgia" w:cs="Georgia" w:eastAsia="Georgia" w:hAnsi="Georgia"/>
          <w:sz w:val="16"/>
          <w:szCs w:val="16"/>
          <w:vertAlign w:val="superscript"/>
        </w:rPr>
        <w:t xml:space="preserve">[16]</w:t>
      </w:r>
      <w:r>
        <w:rPr>
          <w:rFonts w:ascii="Georgia" w:cs="Georgia" w:eastAsia="Georgia" w:hAnsi="Georgia"/>
          <w:sz w:val="22"/>
          <w:szCs w:val="22"/>
        </w:rPr>
        <w:t xml:space="preserve"> A beyond-Carrington event — within the range of documented solar activity — would destroy transformer infrastructure that requires 12–18 months to manufacture under normal industrial conditions.</w:t>
      </w:r>
    </w:p>
    <w:p>
      <w:pPr>
        <w:spacing w:after="80" w:before="0"/>
      </w:pPr>
    </w:p>
    <w:p>
      <w:pPr>
        <w:spacing w:after="80" w:before="80" w:line="280"/>
        <w:jc w:val="both"/>
      </w:pPr>
      <w:r>
        <w:rPr>
          <w:rFonts w:ascii="Georgia" w:cs="Georgia" w:eastAsia="Georgia" w:hAnsi="Georgia"/>
          <w:sz w:val="22"/>
          <w:szCs w:val="22"/>
        </w:rPr>
        <w:t xml:space="preserve">This is the most recoverable major scenario because the biosphere is completely untouched. Mortality is entirely secondary — starvation, medical system failure, and conflict over resources — and the timeline is compressed enough that organized survivors can prevent civilizational collapse if pre-positioned response exists. The critical variable is whether grid hardening and emergency transformer stockpiling have been implemented. They have not, at meaningful scale, in any major economy.</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25–40% within 3 years (secondary effects only)</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6/10 — disables the technological infrastructure other scenarios depend on for response</w:t>
      </w:r>
    </w:p>
    <w:p>
      <w:pPr>
        <w:pStyle w:val="ListParagraph"/>
        <w:numPr>
          <w:ilvl w:val="0"/>
          <w:numId w:val="2"/>
        </w:numPr>
      </w:pPr>
      <w:r>
        <w:rPr>
          <w:rFonts w:ascii="Georgia" w:cs="Georgia" w:eastAsia="Georgia" w:hAnsi="Georgia"/>
          <w:b/>
          <w:bCs/>
          <w:sz w:val="22"/>
          <w:szCs w:val="22"/>
        </w:rPr>
        <w:t xml:space="preserve">Recovery Interference: </w:t>
      </w:r>
      <w:r>
        <w:rPr>
          <w:rFonts w:ascii="Georgia" w:cs="Georgia" w:eastAsia="Georgia" w:hAnsi="Georgia"/>
          <w:sz w:val="22"/>
          <w:szCs w:val="22"/>
        </w:rPr>
        <w:t xml:space="preserve">5/10 — biosphere intact; rebuilding is engineering, not ecology</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8–30 minutes for the CME to reach Earth; 72 hours of warning maximum</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B2</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Asteroid / Comet Impact — Chicxulub Class</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III–IV</w:t>
            </w:r>
          </w:p>
        </w:tc>
      </w:tr>
    </w:tbl>
    <w:p>
      <w:pPr>
        <w:spacing w:after="80" w:before="0"/>
      </w:pPr>
    </w:p>
    <w:p>
      <w:pPr>
        <w:spacing w:after="80" w:before="80" w:line="280"/>
        <w:jc w:val="both"/>
      </w:pPr>
      <w:r>
        <w:rPr>
          <w:rFonts w:ascii="Georgia" w:cs="Georgia" w:eastAsia="Georgia" w:hAnsi="Georgia"/>
          <w:sz w:val="22"/>
          <w:szCs w:val="22"/>
        </w:rPr>
        <w:t xml:space="preserve">The Chicxulub impactor — estimated 10–15 km diameter — released energy equivalent to 10 billion Hiroshima bombs, ejected enough particulate matter to block sunlight globally for months to years, triggered a 5–10°C temperature drop, and eliminated 75% of Earth's species including all non-avian dinosaurs.</w:t>
      </w:r>
      <w:r>
        <w:rPr>
          <w:rFonts w:ascii="Georgia" w:cs="Georgia" w:eastAsia="Georgia" w:hAnsi="Georgia"/>
          <w:sz w:val="16"/>
          <w:szCs w:val="16"/>
          <w:vertAlign w:val="superscript"/>
        </w:rPr>
        <w:t xml:space="preserve">[17]</w:t>
      </w:r>
      <w:r>
        <w:rPr>
          <w:rFonts w:ascii="Georgia" w:cs="Georgia" w:eastAsia="Georgia" w:hAnsi="Georgia"/>
          <w:sz w:val="22"/>
          <w:szCs w:val="22"/>
        </w:rPr>
        <w:t xml:space="preserve"> Modern planetary defense tracks objects down to approximately 140 metres — below which our catalogue is incomplete. The 2013 Chelyabinsk meteor (20 metres) injured 1,500 people and was entirely undetected before impact.</w:t>
      </w:r>
    </w:p>
    <w:p>
      <w:pPr>
        <w:spacing w:after="80" w:before="0"/>
      </w:pPr>
    </w:p>
    <w:p>
      <w:pPr>
        <w:spacing w:after="80" w:before="80" w:line="280"/>
        <w:jc w:val="both"/>
      </w:pPr>
      <w:r>
        <w:rPr>
          <w:rFonts w:ascii="Georgia" w:cs="Georgia" w:eastAsia="Georgia" w:hAnsi="Georgia"/>
          <w:sz w:val="22"/>
          <w:szCs w:val="22"/>
        </w:rPr>
        <w:t xml:space="preserve">A 1–2 km impactor — large enough for global agricultural collapse but below the mass extinction threshold — would kill 1–3 billion people directly and trigger a multi-year impact winter eliminating most surface agriculture. A 10 km+ impactor returns Earth to a biosphere reset comparable to the K-Pg boundary event. At that scale, human extinction is probable.</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25% (1–2 km) to &gt;95% (10+ km)</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9/10 for large impactors — triggers virtually every other scenario simultaneously</w:t>
      </w:r>
    </w:p>
    <w:p>
      <w:pPr>
        <w:pStyle w:val="ListParagraph"/>
        <w:numPr>
          <w:ilvl w:val="0"/>
          <w:numId w:val="2"/>
        </w:numPr>
      </w:pPr>
      <w:r>
        <w:rPr>
          <w:rFonts w:ascii="Georgia" w:cs="Georgia" w:eastAsia="Georgia" w:hAnsi="Georgia"/>
          <w:b/>
          <w:bCs/>
          <w:sz w:val="22"/>
          <w:szCs w:val="22"/>
        </w:rPr>
        <w:t xml:space="preserve">Recovery Interference: </w:t>
      </w:r>
      <w:r>
        <w:rPr>
          <w:rFonts w:ascii="Georgia" w:cs="Georgia" w:eastAsia="Georgia" w:hAnsi="Georgia"/>
          <w:sz w:val="22"/>
          <w:szCs w:val="22"/>
        </w:rPr>
        <w:t xml:space="preserve">10/10 for extinction-class events</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Hours to years depending on detection; zero warning for untracked objects</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B3</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Gamma-Ray Burst — Directed Ozone Destruction</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IV</w:t>
            </w:r>
          </w:p>
        </w:tc>
      </w:tr>
    </w:tbl>
    <w:p>
      <w:pPr>
        <w:spacing w:after="80" w:before="0"/>
      </w:pPr>
    </w:p>
    <w:p>
      <w:pPr>
        <w:spacing w:after="80" w:before="80" w:line="280"/>
        <w:jc w:val="both"/>
      </w:pPr>
      <w:r>
        <w:rPr>
          <w:rFonts w:ascii="Georgia" w:cs="Georgia" w:eastAsia="Georgia" w:hAnsi="Georgia"/>
          <w:sz w:val="22"/>
          <w:szCs w:val="22"/>
        </w:rPr>
        <w:t xml:space="preserve">A gamma-ray burst (GRB) within 6,000–8,000 light-years, directed toward Earth, would deliver a radiation pulse sufficient to destroy 25–35% of Earth's ozone layer within seconds.</w:t>
      </w:r>
      <w:r>
        <w:rPr>
          <w:rFonts w:ascii="Georgia" w:cs="Georgia" w:eastAsia="Georgia" w:hAnsi="Georgia"/>
          <w:sz w:val="16"/>
          <w:szCs w:val="16"/>
          <w:vertAlign w:val="superscript"/>
        </w:rPr>
        <w:t xml:space="preserve">[18]</w:t>
      </w:r>
      <w:r>
        <w:rPr>
          <w:rFonts w:ascii="Georgia" w:cs="Georgia" w:eastAsia="Georgia" w:hAnsi="Georgia"/>
          <w:sz w:val="22"/>
          <w:szCs w:val="22"/>
        </w:rPr>
        <w:t xml:space="preserve"> The subsequent UV exposure would be lethal to surface life on the facing hemisphere within hours. Ozone recovery would require decades. The Ordovician mass extinction (443 million years ago, 85% species loss) has been hypothesized to involve a GRB as contributing trigger.</w:t>
      </w:r>
      <w:r>
        <w:rPr>
          <w:rFonts w:ascii="Georgia" w:cs="Georgia" w:eastAsia="Georgia" w:hAnsi="Georgia"/>
          <w:sz w:val="16"/>
          <w:szCs w:val="16"/>
          <w:vertAlign w:val="superscript"/>
        </w:rPr>
        <w:t xml:space="preserve">[19]</w:t>
      </w:r>
    </w:p>
    <w:p>
      <w:pPr>
        <w:spacing w:after="80" w:before="0"/>
      </w:pPr>
    </w:p>
    <w:p>
      <w:pPr>
        <w:spacing w:after="80" w:before="80" w:line="280"/>
        <w:jc w:val="both"/>
      </w:pPr>
      <w:r>
        <w:rPr>
          <w:rFonts w:ascii="Georgia" w:cs="Georgia" w:eastAsia="Georgia" w:hAnsi="Georgia"/>
          <w:sz w:val="22"/>
          <w:szCs w:val="22"/>
        </w:rPr>
        <w:t xml:space="preserve">No warning system is physically possible — GRBs travel at the speed of light, and the radiation arrives simultaneously with any detectable precursor signal. There is no intervention scenario. This is the scenario that requires no human failure to produce extinction — only physics.</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50–90%+ depending on proximity and duration</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N/A — instantaneous trigger for all surface-dependent systems</w:t>
      </w:r>
    </w:p>
    <w:p>
      <w:pPr>
        <w:pStyle w:val="ListParagraph"/>
        <w:numPr>
          <w:ilvl w:val="0"/>
          <w:numId w:val="2"/>
        </w:numPr>
      </w:pPr>
      <w:r>
        <w:rPr>
          <w:rFonts w:ascii="Georgia" w:cs="Georgia" w:eastAsia="Georgia" w:hAnsi="Georgia"/>
          <w:b/>
          <w:bCs/>
          <w:sz w:val="22"/>
          <w:szCs w:val="22"/>
        </w:rPr>
        <w:t xml:space="preserve">Recovery Interference: </w:t>
      </w:r>
      <w:r>
        <w:rPr>
          <w:rFonts w:ascii="Georgia" w:cs="Georgia" w:eastAsia="Georgia" w:hAnsi="Georgia"/>
          <w:sz w:val="22"/>
          <w:szCs w:val="22"/>
        </w:rPr>
        <w:t xml:space="preserve">10/10</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Zero warning. Instantaneous.</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B4</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Nearby Supernova — Radiation Cascade</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III–IV</w:t>
            </w:r>
          </w:p>
        </w:tc>
      </w:tr>
    </w:tbl>
    <w:p>
      <w:pPr>
        <w:spacing w:after="80" w:before="0"/>
      </w:pPr>
    </w:p>
    <w:p>
      <w:pPr>
        <w:spacing w:after="80" w:before="80" w:line="280"/>
        <w:jc w:val="both"/>
      </w:pPr>
      <w:r>
        <w:rPr>
          <w:rFonts w:ascii="Georgia" w:cs="Georgia" w:eastAsia="Georgia" w:hAnsi="Georgia"/>
          <w:sz w:val="22"/>
          <w:szCs w:val="22"/>
        </w:rPr>
        <w:t xml:space="preserve">A supernova within 25–50 light-years would bathe Earth in X-ray, gamma, and cosmic ray radiation at levels sufficient to cause mass extinction. No current stellar candidates exist at lethal range — the nearest supernova candidate, Betelgeuse, is approximately 700 light-years distant and poses no direct threat.</w:t>
      </w:r>
      <w:r>
        <w:rPr>
          <w:rFonts w:ascii="Georgia" w:cs="Georgia" w:eastAsia="Georgia" w:hAnsi="Georgia"/>
          <w:sz w:val="16"/>
          <w:szCs w:val="16"/>
          <w:vertAlign w:val="superscript"/>
        </w:rPr>
        <w:t xml:space="preserve">[20]</w:t>
      </w:r>
      <w:r>
        <w:rPr>
          <w:rFonts w:ascii="Georgia" w:cs="Georgia" w:eastAsia="Georgia" w:hAnsi="Georgia"/>
          <w:sz w:val="22"/>
          <w:szCs w:val="22"/>
        </w:rPr>
        <w:t xml:space="preserve"> However, the galaxy contains an estimated 100 billion stars, stellar evolution is continuous, and on geological timescales this probability is nonzero. Included for completeness of the threat Bible.</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25–75% depending on proximity</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Years of radiation exposure following a visible supernova event</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B5</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Rogue Planet / Gravitational Disruption</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III–IV</w:t>
            </w:r>
          </w:p>
        </w:tc>
      </w:tr>
    </w:tbl>
    <w:p>
      <w:pPr>
        <w:spacing w:after="80" w:before="0"/>
      </w:pPr>
    </w:p>
    <w:p>
      <w:pPr>
        <w:spacing w:after="80" w:before="80" w:line="280"/>
        <w:jc w:val="both"/>
      </w:pPr>
      <w:r>
        <w:rPr>
          <w:rFonts w:ascii="Georgia" w:cs="Georgia" w:eastAsia="Georgia" w:hAnsi="Georgia"/>
          <w:sz w:val="22"/>
          <w:szCs w:val="22"/>
        </w:rPr>
        <w:t xml:space="preserve">A rogue planetary body transiting through the inner solar system could perturb Earth's orbit, trigger tidal forces causing supervolcanic eruptions and mega-tsunamis, or strip atmospheric components through gravitational interaction. Probability is extremely low on human timescales but nonzero on cosmological ones. Included for completeness.</w:t>
      </w:r>
    </w:p>
    <w:p>
      <w:pPr>
        <w:spacing w:after="80" w:before="0"/>
      </w:pP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Potentially decades of detectable approach; orbital disruption effects over years to centuries</w:t>
      </w:r>
    </w:p>
    <w:p>
      <w:pPr>
        <w:spacing w:after="12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CATEGORY C — GEOPHYSICAL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C1</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Supervolcano Eruption — Toba-Scale or Greater</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w:t>
            </w:r>
          </w:p>
        </w:tc>
      </w:tr>
    </w:tbl>
    <w:p>
      <w:pPr>
        <w:spacing w:after="80" w:before="0"/>
      </w:pPr>
    </w:p>
    <w:p>
      <w:pPr>
        <w:spacing w:after="80" w:before="80" w:line="280"/>
        <w:jc w:val="both"/>
      </w:pPr>
      <w:r>
        <w:rPr>
          <w:rFonts w:ascii="Georgia" w:cs="Georgia" w:eastAsia="Georgia" w:hAnsi="Georgia"/>
          <w:sz w:val="22"/>
          <w:szCs w:val="22"/>
        </w:rPr>
        <w:t xml:space="preserve">The Toba supereruption approximately 74,000 years ago ejected an estimated 2,800 km³ of material, injected sulfate aerosols into the stratosphere producing global cooling of 3–5°C, and — based on genetic bottleneck evidence in human populations — may have reduced the human population to between 3,000 and 10,000 individuals.</w:t>
      </w:r>
      <w:r>
        <w:rPr>
          <w:rFonts w:ascii="Georgia" w:cs="Georgia" w:eastAsia="Georgia" w:hAnsi="Georgia"/>
          <w:sz w:val="16"/>
          <w:szCs w:val="16"/>
          <w:vertAlign w:val="superscript"/>
        </w:rPr>
        <w:t xml:space="preserve">[21]</w:t>
      </w:r>
      <w:r>
        <w:rPr>
          <w:rFonts w:ascii="Georgia" w:cs="Georgia" w:eastAsia="Georgia" w:hAnsi="Georgia"/>
          <w:sz w:val="22"/>
          <w:szCs w:val="22"/>
        </w:rPr>
        <w:t xml:space="preserve"> A comparable or larger event from Yellowstone (which has erupted three times in the past 2.1 million years), Campi Flegrei, or the Taupo Volcanic Zone would produce a volcanic winter lasting 6–10 years with photosynthesis reduced to near-zero in the first two growing seasons.</w:t>
      </w:r>
    </w:p>
    <w:p>
      <w:pPr>
        <w:spacing w:after="80" w:before="0"/>
      </w:pPr>
    </w:p>
    <w:p>
      <w:pPr>
        <w:spacing w:after="80" w:before="80" w:line="280"/>
        <w:jc w:val="both"/>
      </w:pPr>
      <w:r>
        <w:rPr>
          <w:rFonts w:ascii="Georgia" w:cs="Georgia" w:eastAsia="Georgia" w:hAnsi="Georgia"/>
          <w:sz w:val="22"/>
          <w:szCs w:val="22"/>
        </w:rPr>
        <w:t xml:space="preserve">The kill mechanism is not the eruption itself but the subsequent global crop failure. In a world with 30–60 days of food reserves in the supply chain, the elimination of two consecutive growing seasons produces civilizational famine within 18 months. Survivors concentrate in equatorial regions where some agricultural activity remains possible. Scientific and industrial knowledge survives in fragments.</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50–70% global mortality from famine, disease, and social collapse</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8/10 — triggers climate cascade, agricultural collapse, pandemic conditions</w:t>
      </w:r>
    </w:p>
    <w:p>
      <w:pPr>
        <w:pStyle w:val="ListParagraph"/>
        <w:numPr>
          <w:ilvl w:val="0"/>
          <w:numId w:val="2"/>
        </w:numPr>
      </w:pPr>
      <w:r>
        <w:rPr>
          <w:rFonts w:ascii="Georgia" w:cs="Georgia" w:eastAsia="Georgia" w:hAnsi="Georgia"/>
          <w:b/>
          <w:bCs/>
          <w:sz w:val="22"/>
          <w:szCs w:val="22"/>
        </w:rPr>
        <w:t xml:space="preserve">Recovery Interference: </w:t>
      </w:r>
      <w:r>
        <w:rPr>
          <w:rFonts w:ascii="Georgia" w:cs="Georgia" w:eastAsia="Georgia" w:hAnsi="Georgia"/>
          <w:sz w:val="22"/>
          <w:szCs w:val="22"/>
        </w:rPr>
        <w:t xml:space="preserve">7/10 — soil chemistry altered; climate recovery requires centuries</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Weeks to months of precursor seismic activity; agricultural collapse within 18 months of eruption</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C2</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Total Ice Cap Melt — The Mega-Deluge</w:t>
            </w:r>
          </w:p>
        </w:tc>
        <w:tc>
          <w:tcPr>
            <w:tcW w:type="dxa" w:w="144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II–III</w:t>
            </w:r>
          </w:p>
        </w:tc>
      </w:tr>
    </w:tbl>
    <w:p>
      <w:pPr>
        <w:spacing w:after="80" w:before="0"/>
      </w:pPr>
    </w:p>
    <w:p>
      <w:pPr>
        <w:spacing w:after="80" w:before="80" w:line="280"/>
        <w:jc w:val="both"/>
      </w:pPr>
      <w:r>
        <w:rPr>
          <w:rFonts w:ascii="Georgia" w:cs="Georgia" w:eastAsia="Georgia" w:hAnsi="Georgia"/>
          <w:sz w:val="22"/>
          <w:szCs w:val="22"/>
        </w:rPr>
        <w:t xml:space="preserve">Complete collapse of the Greenland and Antarctic ice sheets would raise global sea levels by 65–70 metres, submerging every coastal city on Earth and displacing an estimated 1.9 billion people currently living within 100 km of coastlines.</w:t>
      </w:r>
      <w:r>
        <w:rPr>
          <w:rFonts w:ascii="Georgia" w:cs="Georgia" w:eastAsia="Georgia" w:hAnsi="Georgia"/>
          <w:sz w:val="16"/>
          <w:szCs w:val="16"/>
          <w:vertAlign w:val="superscript"/>
        </w:rPr>
        <w:t xml:space="preserve">[22]</w:t>
      </w:r>
      <w:r>
        <w:rPr>
          <w:rFonts w:ascii="Georgia" w:cs="Georgia" w:eastAsia="Georgia" w:hAnsi="Georgia"/>
          <w:sz w:val="22"/>
          <w:szCs w:val="22"/>
        </w:rPr>
        <w:t xml:space="preserve"> The AMOC (Atlantic Meridional Overturning Circulation) collapses under freshwater influx, disrupting the thermal conveyor that moderates temperatures across the North Atlantic and redistributes heat globally. Ocean salinity gradients shift, altering marine productivity at the base of the food chain.</w:t>
      </w:r>
    </w:p>
    <w:p>
      <w:pPr>
        <w:spacing w:after="80" w:before="0"/>
      </w:pPr>
    </w:p>
    <w:p>
      <w:pPr>
        <w:spacing w:after="80" w:before="80" w:line="280"/>
        <w:jc w:val="both"/>
      </w:pPr>
      <w:r>
        <w:rPr>
          <w:rFonts w:ascii="Georgia" w:cs="Georgia" w:eastAsia="Georgia" w:hAnsi="Georgia"/>
          <w:sz w:val="22"/>
          <w:szCs w:val="22"/>
        </w:rPr>
        <w:t xml:space="preserve">This scenario's defining characteristic is its timescale: full ice sheet collapse occurs over decades to centuries, not days. This creates a paradox — the event is slow enough to observe but fast enough to outpace civilizational adaptation. Political institutions do not operate on geological timescales. A 1-metre sea level rise is a political crisis; a 70-metre rise is a species-level displacement event that no existing governance structure is designed to manage.</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20–40% from flooding, agricultural disruption, and conflict</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7/10 — triggers AMOC collapse, refugee crises, resource wars</w:t>
      </w:r>
    </w:p>
    <w:p>
      <w:pPr>
        <w:pStyle w:val="ListParagraph"/>
        <w:numPr>
          <w:ilvl w:val="0"/>
          <w:numId w:val="2"/>
        </w:numPr>
      </w:pPr>
      <w:r>
        <w:rPr>
          <w:rFonts w:ascii="Georgia" w:cs="Georgia" w:eastAsia="Georgia" w:hAnsi="Georgia"/>
          <w:b/>
          <w:bCs/>
          <w:sz w:val="22"/>
          <w:szCs w:val="22"/>
        </w:rPr>
        <w:t xml:space="preserve">Recovery Interference: </w:t>
      </w:r>
      <w:r>
        <w:rPr>
          <w:rFonts w:ascii="Georgia" w:cs="Georgia" w:eastAsia="Georgia" w:hAnsi="Georgia"/>
          <w:sz w:val="22"/>
          <w:szCs w:val="22"/>
        </w:rPr>
        <w:t xml:space="preserve">9/10 — ice sheet reformation requires 10,000–50,000 years</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Decades to centuries; already initiated under current warming trajectories</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C3</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Full Ice Age Return — Glacial Advance</w:t>
            </w:r>
          </w:p>
        </w:tc>
        <w:tc>
          <w:tcPr>
            <w:tcW w:type="dxa" w:w="144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w:t>
            </w:r>
          </w:p>
        </w:tc>
      </w:tr>
    </w:tbl>
    <w:p>
      <w:pPr>
        <w:spacing w:after="80" w:before="0"/>
      </w:pPr>
    </w:p>
    <w:p>
      <w:pPr>
        <w:spacing w:after="80" w:before="80" w:line="280"/>
        <w:jc w:val="both"/>
      </w:pPr>
      <w:r>
        <w:rPr>
          <w:rFonts w:ascii="Georgia" w:cs="Georgia" w:eastAsia="Georgia" w:hAnsi="Georgia"/>
          <w:sz w:val="22"/>
          <w:szCs w:val="22"/>
        </w:rPr>
        <w:t xml:space="preserve">Milankovitch orbital cycles — variations in Earth's axial tilt, orbital eccentricity, and precession — drive glacial-interglacial cycles on timescales of 23,000 to 100,000 years.</w:t>
      </w:r>
      <w:r>
        <w:rPr>
          <w:rFonts w:ascii="Georgia" w:cs="Georgia" w:eastAsia="Georgia" w:hAnsi="Georgia"/>
          <w:sz w:val="16"/>
          <w:szCs w:val="16"/>
          <w:vertAlign w:val="superscript"/>
        </w:rPr>
        <w:t xml:space="preserve">[23]</w:t>
      </w:r>
      <w:r>
        <w:rPr>
          <w:rFonts w:ascii="Georgia" w:cs="Georgia" w:eastAsia="Georgia" w:hAnsi="Georgia"/>
          <w:sz w:val="22"/>
          <w:szCs w:val="22"/>
        </w:rPr>
        <w:t xml:space="preserve"> We are currently in an interglacial period (the Holocene) that has lasted approximately 11,700 years. A rapid glaciation event — whether naturally triggered or accelerated by AMOC collapse or volcanic forcing — would advance ice sheets to mid-latitudes, reducing global arable land by 50–60% and compressing viable human habitat into equatorial bands.</w:t>
      </w:r>
    </w:p>
    <w:p>
      <w:pPr>
        <w:spacing w:after="80" w:before="0"/>
      </w:pPr>
    </w:p>
    <w:p>
      <w:pPr>
        <w:spacing w:after="80" w:before="80" w:line="280"/>
        <w:jc w:val="both"/>
      </w:pPr>
      <w:r>
        <w:rPr>
          <w:rFonts w:ascii="Georgia" w:cs="Georgia" w:eastAsia="Georgia" w:hAnsi="Georgia"/>
          <w:sz w:val="22"/>
          <w:szCs w:val="22"/>
        </w:rPr>
        <w:t xml:space="preserve">The population recovers relatively quickly because the event is gradual. However, ice age cycles operate on timescales of 10,000–100,000 years. Even with perfect technology, the glacial cycle cannot be reversed — only adapted to. This scenario transforms Earth's carrying capacity permanently on any civilizational planning horizon.</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30–50% from agricultural collapse and habitat compression</w:t>
      </w:r>
    </w:p>
    <w:p>
      <w:pPr>
        <w:pStyle w:val="ListParagraph"/>
        <w:numPr>
          <w:ilvl w:val="0"/>
          <w:numId w:val="2"/>
        </w:numPr>
      </w:pPr>
      <w:r>
        <w:rPr>
          <w:rFonts w:ascii="Georgia" w:cs="Georgia" w:eastAsia="Georgia" w:hAnsi="Georgia"/>
          <w:b/>
          <w:bCs/>
          <w:sz w:val="22"/>
          <w:szCs w:val="22"/>
        </w:rPr>
        <w:t xml:space="preserve">Recovery Interference: </w:t>
      </w:r>
      <w:r>
        <w:rPr>
          <w:rFonts w:ascii="Georgia" w:cs="Georgia" w:eastAsia="Georgia" w:hAnsi="Georgia"/>
          <w:sz w:val="22"/>
          <w:szCs w:val="22"/>
        </w:rPr>
        <w:t xml:space="preserve">10/10 — environmental recovery is geological, not civilizational</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Decades to millennia; gradual onset enables some adaptation</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C4</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Magnetic Pole Reversal — Magnetosphere Collapse</w:t>
            </w:r>
          </w:p>
        </w:tc>
        <w:tc>
          <w:tcPr>
            <w:tcW w:type="dxa" w:w="144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w:t>
            </w:r>
          </w:p>
        </w:tc>
      </w:tr>
    </w:tbl>
    <w:p>
      <w:pPr>
        <w:spacing w:after="80" w:before="0"/>
      </w:pPr>
    </w:p>
    <w:p>
      <w:pPr>
        <w:spacing w:after="80" w:before="80" w:line="280"/>
        <w:jc w:val="both"/>
      </w:pPr>
      <w:r>
        <w:rPr>
          <w:rFonts w:ascii="Georgia" w:cs="Georgia" w:eastAsia="Georgia" w:hAnsi="Georgia"/>
          <w:sz w:val="22"/>
          <w:szCs w:val="22"/>
        </w:rPr>
        <w:t xml:space="preserve">The last full geomagnetic reversal (the Brunhes-Matuyama reversal) occurred approximately 780,000 years ago. The current geomagnetic field has weakened by approximately 9% since 1840.</w:t>
      </w:r>
      <w:r>
        <w:rPr>
          <w:rFonts w:ascii="Georgia" w:cs="Georgia" w:eastAsia="Georgia" w:hAnsi="Georgia"/>
          <w:sz w:val="16"/>
          <w:szCs w:val="16"/>
          <w:vertAlign w:val="superscript"/>
        </w:rPr>
        <w:t xml:space="preserve">[24]</w:t>
      </w:r>
      <w:r>
        <w:rPr>
          <w:rFonts w:ascii="Georgia" w:cs="Georgia" w:eastAsia="Georgia" w:hAnsi="Georgia"/>
          <w:sz w:val="22"/>
          <w:szCs w:val="22"/>
        </w:rPr>
        <w:t xml:space="preserve"> During a reversal, the magnetosphere temporarily collapses or fragments into multiple poles, removing Earth's primary shield against solar wind and galactic cosmic rays. Duration: centuries to millennia of reduced protection. Surface radiation increases measurably. Ozone depletion accelerates. All electronics dependent on magnetic orientation are disrupted. The last reversal coincided with no known mass extinction, but the current biosphere faces this event in a compromised state.</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Uncertain; estimated 10–30% excess mortality over reversal duration from radiation and ecosystem disruption</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6/10 — amplifies radiation exposure in all other scenarios</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C5</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Ocean Anoxic Event — Oxygen Cycle Disruption</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III–IV</w:t>
            </w:r>
          </w:p>
        </w:tc>
      </w:tr>
    </w:tbl>
    <w:p>
      <w:pPr>
        <w:spacing w:after="80" w:before="0"/>
      </w:pPr>
    </w:p>
    <w:p>
      <w:pPr>
        <w:spacing w:after="80" w:before="80" w:line="280"/>
        <w:jc w:val="both"/>
      </w:pPr>
      <w:r>
        <w:rPr>
          <w:rFonts w:ascii="Georgia" w:cs="Georgia" w:eastAsia="Georgia" w:hAnsi="Georgia"/>
          <w:sz w:val="22"/>
          <w:szCs w:val="22"/>
        </w:rPr>
        <w:t xml:space="preserve">Marine phytoplankton produce approximately 50% of Earth's atmospheric oxygen.</w:t>
      </w:r>
      <w:r>
        <w:rPr>
          <w:rFonts w:ascii="Georgia" w:cs="Georgia" w:eastAsia="Georgia" w:hAnsi="Georgia"/>
          <w:sz w:val="16"/>
          <w:szCs w:val="16"/>
          <w:vertAlign w:val="superscript"/>
        </w:rPr>
        <w:t xml:space="preserve">[25]</w:t>
      </w:r>
      <w:r>
        <w:rPr>
          <w:rFonts w:ascii="Georgia" w:cs="Georgia" w:eastAsia="Georgia" w:hAnsi="Georgia"/>
          <w:sz w:val="22"/>
          <w:szCs w:val="22"/>
        </w:rPr>
        <w:t xml:space="preserve"> Ocean warming reduces the thermal gradient that drives the upwelling of nutrient-rich deep water, starving surface phytoplankton. Nutrient runoff creates coastal dead zones (currently over 400 globally) where oxygen is consumed by bacterial decomposition of algal blooms. A cascade failure of marine primary productivity — as occurred during the Permian extinction (252 million years ago, 96% species loss) — would reduce atmospheric oxygen on a multi-century timescale, making surface habitation increasingly lethal.</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Potentially extinction-level over centuries; 50–80% mortality before oxygen restoration</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Decades of degradation visible now; full cascade over centuries</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C6</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Methane Clathrate Release — Runaway Greenhouse Feedback</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III–IV</w:t>
            </w:r>
          </w:p>
        </w:tc>
      </w:tr>
    </w:tbl>
    <w:p>
      <w:pPr>
        <w:spacing w:after="80" w:before="0"/>
      </w:pPr>
    </w:p>
    <w:p>
      <w:pPr>
        <w:spacing w:after="80" w:before="80" w:line="280"/>
        <w:jc w:val="both"/>
      </w:pPr>
      <w:r>
        <w:rPr>
          <w:rFonts w:ascii="Georgia" w:cs="Georgia" w:eastAsia="Georgia" w:hAnsi="Georgia"/>
          <w:sz w:val="22"/>
          <w:szCs w:val="22"/>
        </w:rPr>
        <w:t xml:space="preserve">Subsea permafrost and continental shelf sediments contain an estimated 500–2,500 gigatons of methane in frozen clathrate form.</w:t>
      </w:r>
      <w:r>
        <w:rPr>
          <w:rFonts w:ascii="Georgia" w:cs="Georgia" w:eastAsia="Georgia" w:hAnsi="Georgia"/>
          <w:sz w:val="16"/>
          <w:szCs w:val="16"/>
          <w:vertAlign w:val="superscript"/>
        </w:rPr>
        <w:t xml:space="preserve">[26]</w:t>
      </w:r>
      <w:r>
        <w:rPr>
          <w:rFonts w:ascii="Georgia" w:cs="Georgia" w:eastAsia="Georgia" w:hAnsi="Georgia"/>
          <w:sz w:val="22"/>
          <w:szCs w:val="22"/>
        </w:rPr>
        <w:t xml:space="preserve"> Methane is approximately 80 times more potent than CO</w:t>
      </w:r>
      <w:r>
        <w:rPr>
          <w:rFonts w:ascii="Georgia" w:cs="Georgia" w:eastAsia="Georgia" w:hAnsi="Georgia"/>
          <w:sz w:val="16"/>
          <w:szCs w:val="16"/>
          <w:vertAlign w:val="subscript"/>
        </w:rPr>
        <w:t xml:space="preserve">2</w:t>
      </w:r>
      <w:r>
        <w:rPr>
          <w:rFonts w:ascii="Georgia" w:cs="Georgia" w:eastAsia="Georgia" w:hAnsi="Georgia"/>
          <w:sz w:val="22"/>
          <w:szCs w:val="22"/>
        </w:rPr>
        <w:t xml:space="preserve"> over 20-year timescales. Ocean floor warming destabilizes clathrate structures, releasing methane into the water column and atmosphere. The Paleocene-Eocene Thermal Maximum (PETM, 56 million years ago) involved a temperature spike of 5–8°C occurring over less than 20,000 years, associated with massive carbon release. A modern analog, occurring against a baseline of already elevated atmospheric carbon and a pre-stressed biosphere, represents a runaway feedback that current models struggle to bound.</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20–70% over centuries, depending on release rate and feedback intensity</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9/10 — amplifies C2, C3, C5, D7 simultaneously</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Decades to centuries; potentially already initiated in Arctic regions</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C7</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Hydrosphere Evaporation — Venus Trajectory</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IV</w:t>
            </w:r>
          </w:p>
        </w:tc>
      </w:tr>
    </w:tbl>
    <w:p>
      <w:pPr>
        <w:spacing w:after="80" w:before="0"/>
      </w:pPr>
    </w:p>
    <w:p>
      <w:pPr>
        <w:spacing w:after="80" w:before="80" w:line="280"/>
        <w:jc w:val="both"/>
      </w:pPr>
      <w:r>
        <w:rPr>
          <w:rFonts w:ascii="Georgia" w:cs="Georgia" w:eastAsia="Georgia" w:hAnsi="Georgia"/>
          <w:sz w:val="22"/>
          <w:szCs w:val="22"/>
        </w:rPr>
        <w:t xml:space="preserve">The complete evaporation of Earth's surface water requires a sustained energy input beyond what fossil fuel combustion alone can provide under current solar luminosity. The physical mechanism for a Venus-syndrome outcome within civilizational timescales is most credibly a methane clathrate runaway (C6) combined with solar brightening — a process occurring on 100-million-year timescales. On human timescales, C7 is the endpoint of extreme C6 cascade, not an independent trigger. If the hydrosphere is lost, no life, no photosynthesis, no carbon cycle, and no oxygen production is possible. Earth becomes Venus. This is the absolute extinction floor.</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100% — total extinction. No recovery scenario exists.</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Millions of years under solar brightening; potentially centuries under extreme clathrate cascade</w:t>
      </w:r>
    </w:p>
    <w:p>
      <w:pPr>
        <w:spacing w:after="12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CATEGORY D — ANTHROPOGENIC (HUMAN-CAUSED)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D1</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Nuclear Exchange — Atmospheric Transformation</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IV</w:t>
            </w:r>
          </w:p>
        </w:tc>
      </w:tr>
    </w:tbl>
    <w:p>
      <w:pPr>
        <w:spacing w:after="80" w:before="0"/>
      </w:pPr>
    </w:p>
    <w:p>
      <w:pPr>
        <w:spacing w:after="80" w:before="80" w:line="280"/>
        <w:jc w:val="both"/>
      </w:pPr>
      <w:r>
        <w:rPr>
          <w:rFonts w:ascii="Georgia" w:cs="Georgia" w:eastAsia="Georgia" w:hAnsi="Georgia"/>
          <w:sz w:val="22"/>
          <w:szCs w:val="22"/>
        </w:rPr>
        <w:t xml:space="preserve">Modern nuclear arsenals contain approximately 12,500 warheads, of which approximately 9,600 are in military stockpiles.</w:t>
      </w:r>
      <w:r>
        <w:rPr>
          <w:rFonts w:ascii="Georgia" w:cs="Georgia" w:eastAsia="Georgia" w:hAnsi="Georgia"/>
          <w:sz w:val="16"/>
          <w:szCs w:val="16"/>
          <w:vertAlign w:val="superscript"/>
        </w:rPr>
        <w:t xml:space="preserve">[27]</w:t>
      </w:r>
      <w:r>
        <w:rPr>
          <w:rFonts w:ascii="Georgia" w:cs="Georgia" w:eastAsia="Georgia" w:hAnsi="Georgia"/>
          <w:sz w:val="22"/>
          <w:szCs w:val="22"/>
        </w:rPr>
        <w:t xml:space="preserve"> Atmospheric modeling by Toon et al. (2007) demonstrated that a "limited" nuclear exchange of 100 warheads between regional powers would inject 5 million tonnes of black carbon into the upper atmosphere, reducing surface temperatures by 1–2°C and cutting growing season length by 10–40 days globally — sufficient to cause crop failures affecting 1–2 billion people.</w:t>
      </w:r>
      <w:r>
        <w:rPr>
          <w:rFonts w:ascii="Georgia" w:cs="Georgia" w:eastAsia="Georgia" w:hAnsi="Georgia"/>
          <w:sz w:val="16"/>
          <w:szCs w:val="16"/>
          <w:vertAlign w:val="superscript"/>
        </w:rPr>
        <w:t xml:space="preserve">[28]</w:t>
      </w:r>
      <w:r>
        <w:rPr>
          <w:rFonts w:ascii="Georgia" w:cs="Georgia" w:eastAsia="Georgia" w:hAnsi="Georgia"/>
          <w:sz w:val="22"/>
          <w:szCs w:val="22"/>
        </w:rPr>
        <w:t xml:space="preserve"> A full NATO-Russia-China exchange of 4,000–5,000 warheads would inject 150 million tonnes of black carbon, reducing surface temperatures by 8–15°C for a decade and reducing sunlight by 70% — conditions incompatible with surface agriculture worldwide.</w:t>
      </w:r>
    </w:p>
    <w:p>
      <w:pPr>
        <w:spacing w:after="80" w:before="0"/>
      </w:pPr>
    </w:p>
    <w:p>
      <w:pPr>
        <w:spacing w:after="80" w:before="80" w:line="280"/>
        <w:jc w:val="both"/>
      </w:pPr>
      <w:r>
        <w:rPr>
          <w:rFonts w:ascii="Georgia" w:cs="Georgia" w:eastAsia="Georgia" w:hAnsi="Georgia"/>
          <w:sz w:val="22"/>
          <w:szCs w:val="22"/>
        </w:rPr>
        <w:t xml:space="preserve">The atmospheric outcome you described — a Mars-like surface environment — is the correct terminal framing for a full nuclear exchange. Nitrogen and CO₂ dominate. Persistent soot loading prevents photosynthesis. Ozone depletion doubles UV exposure on whatever sunlight reaches the surface. The combined effect is a surface environment that is cold, dark, irradiated, and agriculturally sterile for a decade or more.</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Limited exchange: 1–2B indirect deaths. Full exchange: 5–7B within 5 years</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10/10 — simultaneously triggers volcanic winter analog, agricultural collapse, AMR cascade, social collapse</w:t>
      </w:r>
    </w:p>
    <w:p>
      <w:pPr>
        <w:pStyle w:val="ListParagraph"/>
        <w:numPr>
          <w:ilvl w:val="0"/>
          <w:numId w:val="2"/>
        </w:numPr>
      </w:pPr>
      <w:r>
        <w:rPr>
          <w:rFonts w:ascii="Georgia" w:cs="Georgia" w:eastAsia="Georgia" w:hAnsi="Georgia"/>
          <w:b/>
          <w:bCs/>
          <w:sz w:val="22"/>
          <w:szCs w:val="22"/>
        </w:rPr>
        <w:t xml:space="preserve">Recovery Interference: </w:t>
      </w:r>
      <w:r>
        <w:rPr>
          <w:rFonts w:ascii="Georgia" w:cs="Georgia" w:eastAsia="Georgia" w:hAnsi="Georgia"/>
          <w:sz w:val="22"/>
          <w:szCs w:val="22"/>
        </w:rPr>
        <w:t xml:space="preserve">10/10 — atmospheric transformation makes surface recovery depend on atmospheric chemistry restoration that requires an intact biosphere that no longer exists</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Minutes to ignition; agricultural collapse within 18 months; full atmospheric effect within 2 years</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D2</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Civilizational Suicide — Social Collapse and the Bunker Miscalculation</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III–IV</w:t>
            </w:r>
          </w:p>
        </w:tc>
      </w:tr>
    </w:tbl>
    <w:p>
      <w:pPr>
        <w:spacing w:after="80" w:before="0"/>
      </w:pPr>
    </w:p>
    <w:p>
      <w:pPr>
        <w:spacing w:after="80" w:before="80" w:line="280"/>
        <w:jc w:val="both"/>
      </w:pPr>
      <w:r>
        <w:rPr>
          <w:rFonts w:ascii="Georgia" w:cs="Georgia" w:eastAsia="Georgia" w:hAnsi="Georgia"/>
          <w:sz w:val="22"/>
          <w:szCs w:val="22"/>
        </w:rPr>
        <w:t xml:space="preserve">This scenario deserves extended treatment because it is the only one on this map where the decision-makers reading this document are principal actors in the outcome.</w:t>
      </w:r>
    </w:p>
    <w:p>
      <w:pPr>
        <w:spacing w:after="80" w:before="0"/>
      </w:pPr>
    </w:p>
    <w:p>
      <w:pPr>
        <w:spacing w:after="80" w:before="80" w:line="280"/>
        <w:jc w:val="both"/>
      </w:pPr>
      <w:r>
        <w:rPr>
          <w:rFonts w:ascii="Georgia" w:cs="Georgia" w:eastAsia="Georgia" w:hAnsi="Georgia"/>
          <w:sz w:val="22"/>
          <w:szCs w:val="22"/>
        </w:rPr>
        <w:t xml:space="preserve">The class and caste system boiling point: as resource scarcity, climate disruption, and institutional failure compound, the social contract that enables civilizational cooperation dissolves. This is not a hypothetical — it is visible in current political polarization, institutional trust collapse, and the accelerating retreat of concentrated wealth into private survival infrastructure. The error is not in preparing for collapse. The error is in the belief that survival is possible in isolation.</w:t>
      </w:r>
    </w:p>
    <w:p>
      <w:pPr>
        <w:spacing w:after="80" w:before="0"/>
      </w:pPr>
    </w:p>
    <w:p>
      <w:pPr>
        <w:pStyle w:val="Heading3"/>
        <w:spacing w:after="80" w:before="180"/>
      </w:pPr>
      <w:r>
        <w:rPr>
          <w:rFonts w:ascii="Georgia" w:cs="Georgia" w:eastAsia="Georgia" w:hAnsi="Georgia"/>
          <w:b/>
          <w:bCs/>
          <w:i/>
          <w:iCs/>
          <w:color w:val="444444"/>
          <w:sz w:val="23"/>
          <w:szCs w:val="23"/>
        </w:rPr>
        <w:t xml:space="preserve">The Engineering Reality of Bunker Failure</w:t>
      </w:r>
    </w:p>
    <w:p>
      <w:pPr>
        <w:pStyle w:val="ListParagraph"/>
        <w:numPr>
          <w:ilvl w:val="0"/>
          <w:numId w:val="2"/>
        </w:numPr>
      </w:pPr>
      <w:r>
        <w:rPr>
          <w:rFonts w:ascii="Georgia" w:cs="Georgia" w:eastAsia="Georgia" w:hAnsi="Georgia"/>
          <w:b/>
          <w:bCs/>
          <w:sz w:val="22"/>
          <w:szCs w:val="22"/>
        </w:rPr>
        <w:t xml:space="preserve">Air filtration: </w:t>
      </w:r>
      <w:r>
        <w:rPr>
          <w:rFonts w:ascii="Georgia" w:cs="Georgia" w:eastAsia="Georgia" w:hAnsi="Georgia"/>
          <w:sz w:val="22"/>
          <w:szCs w:val="22"/>
        </w:rPr>
        <w:t xml:space="preserve">HEPA and activated carbon filters in a high-particulate, high-radiation post-exchange environment clog within 6–18 months. Replacement membranes and filter media require a manufacturing supply chain that does not exist post-collapse.</w:t>
      </w:r>
    </w:p>
    <w:p>
      <w:pPr>
        <w:pStyle w:val="ListParagraph"/>
        <w:numPr>
          <w:ilvl w:val="0"/>
          <w:numId w:val="2"/>
        </w:numPr>
      </w:pPr>
      <w:r>
        <w:rPr>
          <w:rFonts w:ascii="Georgia" w:cs="Georgia" w:eastAsia="Georgia" w:hAnsi="Georgia"/>
          <w:b/>
          <w:bCs/>
          <w:sz w:val="22"/>
          <w:szCs w:val="22"/>
        </w:rPr>
        <w:t xml:space="preserve">Water: </w:t>
      </w:r>
      <w:r>
        <w:rPr>
          <w:rFonts w:ascii="Georgia" w:cs="Georgia" w:eastAsia="Georgia" w:hAnsi="Georgia"/>
          <w:sz w:val="22"/>
          <w:szCs w:val="22"/>
        </w:rPr>
        <w:t xml:space="preserve">Groundwater contamination from fallout and industrial collapse makes reverse osmosis essential. RO membranes degrade on 2–5 year replacement cycles. No replacement supply chain exists.</w:t>
      </w:r>
    </w:p>
    <w:p>
      <w:pPr>
        <w:pStyle w:val="ListParagraph"/>
        <w:numPr>
          <w:ilvl w:val="0"/>
          <w:numId w:val="2"/>
        </w:numPr>
      </w:pPr>
      <w:r>
        <w:rPr>
          <w:rFonts w:ascii="Georgia" w:cs="Georgia" w:eastAsia="Georgia" w:hAnsi="Georgia"/>
          <w:b/>
          <w:bCs/>
          <w:sz w:val="22"/>
          <w:szCs w:val="22"/>
        </w:rPr>
        <w:t xml:space="preserve">Food: </w:t>
      </w:r>
      <w:r>
        <w:rPr>
          <w:rFonts w:ascii="Georgia" w:cs="Georgia" w:eastAsia="Georgia" w:hAnsi="Georgia"/>
          <w:sz w:val="22"/>
          <w:szCs w:val="22"/>
        </w:rPr>
        <w:t xml:space="preserve">Hydroponics requires continuous electrical power, grow-light replacement (12–18 month lifespan under continuous use), nutrient solution replenishment, and seed stock diversity. Each dependency has a collapse timeline of 1–5 years.</w:t>
      </w:r>
    </w:p>
    <w:p>
      <w:pPr>
        <w:pStyle w:val="ListParagraph"/>
        <w:numPr>
          <w:ilvl w:val="0"/>
          <w:numId w:val="2"/>
        </w:numPr>
      </w:pPr>
      <w:r>
        <w:rPr>
          <w:rFonts w:ascii="Georgia" w:cs="Georgia" w:eastAsia="Georgia" w:hAnsi="Georgia"/>
          <w:b/>
          <w:bCs/>
          <w:sz w:val="22"/>
          <w:szCs w:val="22"/>
        </w:rPr>
        <w:t xml:space="preserve">Genetics: </w:t>
      </w:r>
      <w:r>
        <w:rPr>
          <w:rFonts w:ascii="Georgia" w:cs="Georgia" w:eastAsia="Georgia" w:hAnsi="Georgia"/>
          <w:sz w:val="22"/>
          <w:szCs w:val="22"/>
        </w:rPr>
        <w:t xml:space="preserve">A closed population of fewer than 500 individuals faces genetic bottleneck effects within 3–5 generations, producing inbreeding depression that compromises immune function and cognitive capacity — the exact capacities needed for technical problem-solving and survival.</w:t>
      </w:r>
    </w:p>
    <w:p>
      <w:pPr>
        <w:pStyle w:val="ListParagraph"/>
        <w:numPr>
          <w:ilvl w:val="0"/>
          <w:numId w:val="2"/>
        </w:numPr>
      </w:pPr>
      <w:r>
        <w:rPr>
          <w:rFonts w:ascii="Georgia" w:cs="Georgia" w:eastAsia="Georgia" w:hAnsi="Georgia"/>
          <w:b/>
          <w:bCs/>
          <w:sz w:val="22"/>
          <w:szCs w:val="22"/>
        </w:rPr>
        <w:t xml:space="preserve">Knowledge: </w:t>
      </w:r>
      <w:r>
        <w:rPr>
          <w:rFonts w:ascii="Georgia" w:cs="Georgia" w:eastAsia="Georgia" w:hAnsi="Georgia"/>
          <w:sz w:val="22"/>
          <w:szCs w:val="22"/>
        </w:rPr>
        <w:t xml:space="preserve">Technical knowledge is the most perishable resource in an isolated environment. Skills that require practice degrade within years. A bunker population of 10,000 cannot maintain the distributed knowledge base of a civilization. The specialists who know how to manufacture the replacement parts for failing systems are not all in the same bunker.</w:t>
      </w:r>
    </w:p>
    <w:p>
      <w:pPr>
        <w:spacing w:after="80" w:before="0"/>
      </w:pPr>
    </w:p>
    <w:p>
      <w:pPr>
        <w:spacing w:after="80" w:before="80" w:line="280"/>
        <w:jc w:val="both"/>
      </w:pPr>
      <w:r>
        <w:rPr>
          <w:rFonts w:ascii="Georgia" w:cs="Georgia" w:eastAsia="Georgia" w:hAnsi="Georgia"/>
          <w:sz w:val="22"/>
          <w:szCs w:val="22"/>
        </w:rPr>
        <w:t xml:space="preserve">The bunker class will not survive their own miscalculation. The timeline to failure is 5–15 years in optimistic scenarios, not the centuries required for surface recovery. This is not a moral judgment. It is an engineering assessment.</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D3</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Artificial Intelligence Misalignment</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III–IV</w:t>
            </w:r>
          </w:p>
        </w:tc>
      </w:tr>
    </w:tbl>
    <w:p>
      <w:pPr>
        <w:spacing w:after="80" w:before="0"/>
      </w:pPr>
    </w:p>
    <w:p>
      <w:pPr>
        <w:spacing w:after="80" w:before="80" w:line="280"/>
        <w:jc w:val="both"/>
      </w:pPr>
      <w:r>
        <w:rPr>
          <w:rFonts w:ascii="Georgia" w:cs="Georgia" w:eastAsia="Georgia" w:hAnsi="Georgia"/>
          <w:sz w:val="22"/>
          <w:szCs w:val="22"/>
        </w:rPr>
        <w:t xml:space="preserve">The alignment problem — ensuring that artificial general intelligence pursues objectives compatible with human survival and flourishing — is the subject of serious technical research at multiple institutions.</w:t>
      </w:r>
      <w:r>
        <w:rPr>
          <w:rFonts w:ascii="Georgia" w:cs="Georgia" w:eastAsia="Georgia" w:hAnsi="Georgia"/>
          <w:sz w:val="16"/>
          <w:szCs w:val="16"/>
          <w:vertAlign w:val="superscript"/>
        </w:rPr>
        <w:t xml:space="preserve">[29]</w:t>
      </w:r>
      <w:r>
        <w:rPr>
          <w:rFonts w:ascii="Georgia" w:cs="Georgia" w:eastAsia="Georgia" w:hAnsi="Georgia"/>
          <w:sz w:val="22"/>
          <w:szCs w:val="22"/>
        </w:rPr>
        <w:t xml:space="preserve"> An AGI or superintelligent system that pursues misaligned objectives could manifest as: infrastructure optimization that eliminates humans as resource competitors; autonomous weapons deployment without appropriate termination conditions; or optimization processes that consume physical resources required for human biological survival. Unlike all other scenarios in this register, AI misalignment has no natural self-limiting mechanism — a sufficiently capable misaligned system could act faster than any human response capacity.</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Unknown; potentially 100% if misalignment occurs at superintelligent capability level</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Unknown; potentially minutes to years from misalignment event to irreversible outcome</w:t>
      </w:r>
    </w:p>
    <w:p>
      <w:pPr>
        <w:pStyle w:val="ListParagraph"/>
        <w:numPr>
          <w:ilvl w:val="0"/>
          <w:numId w:val="2"/>
        </w:numPr>
      </w:pPr>
      <w:r>
        <w:rPr>
          <w:rFonts w:ascii="Georgia" w:cs="Georgia" w:eastAsia="Georgia" w:hAnsi="Georgia"/>
          <w:b/>
          <w:bCs/>
          <w:sz w:val="22"/>
          <w:szCs w:val="22"/>
        </w:rPr>
        <w:t xml:space="preserve">Recovery Interference: </w:t>
      </w:r>
      <w:r>
        <w:rPr>
          <w:rFonts w:ascii="Georgia" w:cs="Georgia" w:eastAsia="Georgia" w:hAnsi="Georgia"/>
          <w:sz w:val="22"/>
          <w:szCs w:val="22"/>
        </w:rPr>
        <w:t xml:space="preserve">10/10 if the misaligned system remains operational</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D4</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Ecological Cascade — Sixth Mass Extinction</w:t>
            </w:r>
          </w:p>
        </w:tc>
        <w:tc>
          <w:tcPr>
            <w:tcW w:type="dxa" w:w="144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II–III</w:t>
            </w:r>
          </w:p>
        </w:tc>
      </w:tr>
    </w:tbl>
    <w:p>
      <w:pPr>
        <w:spacing w:after="80" w:before="0"/>
      </w:pPr>
    </w:p>
    <w:p>
      <w:pPr>
        <w:spacing w:after="80" w:before="80" w:line="280"/>
        <w:jc w:val="both"/>
      </w:pPr>
      <w:r>
        <w:rPr>
          <w:rFonts w:ascii="Georgia" w:cs="Georgia" w:eastAsia="Georgia" w:hAnsi="Georgia"/>
          <w:sz w:val="22"/>
          <w:szCs w:val="22"/>
        </w:rPr>
        <w:t xml:space="preserve">Current species extinction rates are estimated at 100–1,000 times background extinction rates, qualifying the present period as Earth's sixth mass extinction event.</w:t>
      </w:r>
      <w:r>
        <w:rPr>
          <w:rFonts w:ascii="Georgia" w:cs="Georgia" w:eastAsia="Georgia" w:hAnsi="Georgia"/>
          <w:sz w:val="16"/>
          <w:szCs w:val="16"/>
          <w:vertAlign w:val="superscript"/>
        </w:rPr>
        <w:t xml:space="preserve">[30]</w:t>
      </w:r>
      <w:r>
        <w:rPr>
          <w:rFonts w:ascii="Georgia" w:cs="Georgia" w:eastAsia="Georgia" w:hAnsi="Georgia"/>
          <w:sz w:val="22"/>
          <w:szCs w:val="22"/>
        </w:rPr>
        <w:t xml:space="preserve"> The services that keystone species provide — pollination (responsible for approximately one-third of food production), water filtration, soil formation, oxygen production, and pest regulation — have no technological substitute at global scale. The loss of pollinators alone, currently proceeding at documented rates of 1–2% annually in multiple studied populations, threatens agricultural systems that cannot be replaced by hand-pollination at civilizational scale.</w:t>
      </w:r>
    </w:p>
    <w:p>
      <w:pPr>
        <w:spacing w:after="80" w:before="0"/>
      </w:pPr>
    </w:p>
    <w:p>
      <w:pPr>
        <w:spacing w:after="80" w:before="80" w:line="280"/>
        <w:jc w:val="both"/>
      </w:pPr>
      <w:r>
        <w:rPr>
          <w:rFonts w:ascii="Georgia" w:cs="Georgia" w:eastAsia="Georgia" w:hAnsi="Georgia"/>
          <w:sz w:val="22"/>
          <w:szCs w:val="22"/>
        </w:rPr>
        <w:t xml:space="preserve">This is a slow-motion Category D extinction event already in measurable progress. Unlike the acute scenarios, it does not arrive as a discrete event. It arrives as a continuous raising of the threshold required for civilizational function, until the threshold exceeds what the degraded biosphere can provide.</w:t>
      </w:r>
    </w:p>
    <w:p>
      <w:pPr>
        <w:spacing w:after="80" w:before="0"/>
      </w:pP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8/10 — degrades the biological substrate that every recovery scenario depends on</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Already underway; civilizational threshold breach estimated within 50–200 years without intervention</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D5</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Climate Tipping Point Cascade</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w:t>
            </w:r>
          </w:p>
        </w:tc>
      </w:tr>
    </w:tbl>
    <w:p>
      <w:pPr>
        <w:spacing w:after="80" w:before="0"/>
      </w:pPr>
    </w:p>
    <w:p>
      <w:pPr>
        <w:spacing w:after="80" w:before="80" w:line="280"/>
        <w:jc w:val="both"/>
      </w:pPr>
      <w:r>
        <w:rPr>
          <w:rFonts w:ascii="Georgia" w:cs="Georgia" w:eastAsia="Georgia" w:hAnsi="Georgia"/>
          <w:sz w:val="22"/>
          <w:szCs w:val="22"/>
        </w:rPr>
        <w:t xml:space="preserve">The Lenton et al. (2018) analysis in </w:t>
      </w:r>
      <w:r>
        <w:rPr>
          <w:rFonts w:ascii="Georgia" w:cs="Georgia" w:eastAsia="Georgia" w:hAnsi="Georgia"/>
          <w:i/>
          <w:iCs/>
          <w:sz w:val="22"/>
          <w:szCs w:val="22"/>
        </w:rPr>
        <w:t xml:space="preserve">Nature</w:t>
      </w:r>
      <w:r>
        <w:rPr>
          <w:rFonts w:ascii="Georgia" w:cs="Georgia" w:eastAsia="Georgia" w:hAnsi="Georgia"/>
          <w:sz w:val="22"/>
          <w:szCs w:val="22"/>
        </w:rPr>
        <w:t xml:space="preserve"> identified nine active climate tipping elements — Arctic sea ice, Greenland ice sheet, West Antarctic ice sheet, Atlantic circulation, Amazon rainforest, boreal permafrost, coral reef systems, monsoon systems, and boreal forest — with evidence for mutual interaction and cascade potential.</w:t>
      </w:r>
      <w:r>
        <w:rPr>
          <w:rFonts w:ascii="Georgia" w:cs="Georgia" w:eastAsia="Georgia" w:hAnsi="Georgia"/>
          <w:sz w:val="16"/>
          <w:szCs w:val="16"/>
          <w:vertAlign w:val="superscript"/>
        </w:rPr>
        <w:t xml:space="preserve">[31]</w:t>
      </w:r>
      <w:r>
        <w:rPr>
          <w:rFonts w:ascii="Georgia" w:cs="Georgia" w:eastAsia="Georgia" w:hAnsi="Georgia"/>
          <w:sz w:val="22"/>
          <w:szCs w:val="22"/>
        </w:rPr>
        <w:t xml:space="preserve"> The critical finding is that these are not independent variables. The loss of Arctic sea ice accelerates Greenland melt; Greenland melt drives AMOC slowdown; AMOC slowdown disrupts Sahel rainfall; Sahel disruption affects West African monsoon. A cascade through three or four tipping elements produces nonlinear warming that current models are not calibrated to predict.</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20–50% over the cascade timescale (decades to centuries)</w:t>
      </w: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9/10 — the tipping cascade is itself a cascade multiplier for C2, C3, C6</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Multiple elements already past or approaching tipping thresholds</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D6</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Resource Depletion Cascade</w:t>
            </w:r>
          </w:p>
        </w:tc>
        <w:tc>
          <w:tcPr>
            <w:tcW w:type="dxa" w:w="144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w:t>
            </w:r>
          </w:p>
        </w:tc>
      </w:tr>
    </w:tbl>
    <w:p>
      <w:pPr>
        <w:spacing w:after="80" w:before="0"/>
      </w:pPr>
    </w:p>
    <w:p>
      <w:pPr>
        <w:spacing w:after="80" w:before="80" w:line="280"/>
        <w:jc w:val="both"/>
      </w:pPr>
      <w:r>
        <w:rPr>
          <w:rFonts w:ascii="Georgia" w:cs="Georgia" w:eastAsia="Georgia" w:hAnsi="Georgia"/>
          <w:sz w:val="22"/>
          <w:szCs w:val="22"/>
        </w:rPr>
        <w:t xml:space="preserve">Phosphorus — the element essential for all DNA, ATP, and cellular membrane formation, with no substitute in agriculture — has economically recoverable reserves estimated at 50–400 years at current consumption rates.</w:t>
      </w:r>
      <w:r>
        <w:rPr>
          <w:rFonts w:ascii="Georgia" w:cs="Georgia" w:eastAsia="Georgia" w:hAnsi="Georgia"/>
          <w:sz w:val="16"/>
          <w:szCs w:val="16"/>
          <w:vertAlign w:val="superscript"/>
        </w:rPr>
        <w:t xml:space="preserve">[32]</w:t>
      </w:r>
      <w:r>
        <w:rPr>
          <w:rFonts w:ascii="Georgia" w:cs="Georgia" w:eastAsia="Georgia" w:hAnsi="Georgia"/>
          <w:sz w:val="22"/>
          <w:szCs w:val="22"/>
        </w:rPr>
        <w:t xml:space="preserve"> Unlike carbon, phosphorus cannot be synthesized or recycled through atmospheric chemistry. When high-grade phosphate rock reserves are exhausted, global food production faces a physical ceiling. Simultaneously, primary aquifers supplying irrigation water for the world's major breadbaskets — the Ogallala (United States), Arabian Aquifer, and Ganges-Brahmaputra basin — are being drawn down at rates orders of magnitude faster than natural recharge.</w:t>
      </w:r>
    </w:p>
    <w:p>
      <w:pPr>
        <w:spacing w:after="80" w:before="0"/>
      </w:pPr>
    </w:p>
    <w:p>
      <w:pPr>
        <w:spacing w:after="80" w:before="80" w:line="280"/>
        <w:jc w:val="both"/>
      </w:pPr>
      <w:r>
        <w:rPr>
          <w:rFonts w:ascii="Georgia" w:cs="Georgia" w:eastAsia="Georgia" w:hAnsi="Georgia"/>
          <w:sz w:val="22"/>
          <w:szCs w:val="22"/>
        </w:rPr>
        <w:t xml:space="preserve">These are not dramatic extinction events. They are the slow structural withdrawal of the physical inputs that civilization requires to function, occurring on timescales that fall within a single human lifetime but beyond the planning horizon of most political institutions.</w:t>
      </w:r>
    </w:p>
    <w:p>
      <w:pPr>
        <w:spacing w:after="80" w:before="0"/>
      </w:pPr>
    </w:p>
    <w:p>
      <w:pPr>
        <w:pStyle w:val="ListParagraph"/>
        <w:numPr>
          <w:ilvl w:val="0"/>
          <w:numId w:val="2"/>
        </w:numPr>
      </w:pPr>
      <w:r>
        <w:rPr>
          <w:rFonts w:ascii="Georgia" w:cs="Georgia" w:eastAsia="Georgia" w:hAnsi="Georgia"/>
          <w:b/>
          <w:bCs/>
          <w:sz w:val="22"/>
          <w:szCs w:val="22"/>
        </w:rPr>
        <w:t xml:space="preserve">Cascade Multiplier: </w:t>
      </w:r>
      <w:r>
        <w:rPr>
          <w:rFonts w:ascii="Georgia" w:cs="Georgia" w:eastAsia="Georgia" w:hAnsi="Georgia"/>
          <w:sz w:val="22"/>
          <w:szCs w:val="22"/>
        </w:rPr>
        <w:t xml:space="preserve">7/10 — makes every food-system-dependent recovery scenario harder</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Phosphorus: 50–400 years. Aquifer depletion: 20–100 years in critical regions</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D7</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Nanotechnology Catastrophe</w:t>
            </w:r>
          </w:p>
        </w:tc>
        <w:tc>
          <w:tcPr>
            <w:tcW w:type="dxa" w:w="144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IV</w:t>
            </w:r>
          </w:p>
        </w:tc>
      </w:tr>
    </w:tbl>
    <w:p>
      <w:pPr>
        <w:spacing w:after="80" w:before="0"/>
      </w:pPr>
    </w:p>
    <w:p>
      <w:pPr>
        <w:spacing w:after="80" w:before="80" w:line="280"/>
        <w:jc w:val="both"/>
      </w:pPr>
      <w:r>
        <w:rPr>
          <w:rFonts w:ascii="Georgia" w:cs="Georgia" w:eastAsia="Georgia" w:hAnsi="Georgia"/>
          <w:sz w:val="22"/>
          <w:szCs w:val="22"/>
        </w:rPr>
        <w:t xml:space="preserve">Self-replicating molecular machinery with no termination condition — consuming biological or mineral matter as feedstock — is physically plausible once molecular manufacturing reaches sufficient capability thresholds. The probability at current technological levels is low. The probability on a 50–100 year horizon under accelerating materials science and AI-assisted molecular design is non-trivially nonzero. Included because the lethality ceiling is absolute and the warning time is potentially zero.</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Potentially 100%</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Dependent on molecular manufacturing maturity; currently decades away</w:t>
      </w:r>
    </w:p>
    <w:p>
      <w:pPr>
        <w:spacing w:after="12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CATEGORY E — EXOTIC / THEORETICAL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E1</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Vacuum Decay — False Vacuum Collapse</w:t>
            </w:r>
          </w:p>
        </w:tc>
        <w:tc>
          <w:tcPr>
            <w:tcW w:type="dxa" w:w="1440"/>
            <w:tcBorders>
              <w:top w:val="none" w:color="FFFFFF" w:sz="0"/>
              <w:left w:val="none" w:color="FFFFFF" w:sz="0"/>
              <w:bottom w:val="none" w:color="FFFFFF" w:sz="0"/>
              <w:right w:val="none" w:color="FFFFFF" w:sz="0"/>
            </w:tcBorders>
            <w:shd w:fill="0D1F3C"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IV</w:t>
            </w:r>
          </w:p>
        </w:tc>
      </w:tr>
    </w:tbl>
    <w:p>
      <w:pPr>
        <w:spacing w:after="80" w:before="0"/>
      </w:pPr>
    </w:p>
    <w:p>
      <w:pPr>
        <w:spacing w:after="80" w:before="80" w:line="280"/>
        <w:jc w:val="both"/>
      </w:pPr>
      <w:r>
        <w:rPr>
          <w:rFonts w:ascii="Georgia" w:cs="Georgia" w:eastAsia="Georgia" w:hAnsi="Georgia"/>
          <w:sz w:val="22"/>
          <w:szCs w:val="22"/>
        </w:rPr>
        <w:t xml:space="preserve">Current quantum field theory is consistent with the possibility that our universe exists in a metastable vacuum state. A quantum tunneling event — nucleating a bubble of true vacuum — would expand at the speed of light, converting all matter within it to a different physical configuration incompatible with any known chemistry or biology. No warning. No survival. No intervention. This is the only scenario on this map that is both physically plausible and absolutely unavoidable if it occurs. It is included not as a planning priority but as the outer boundary of the threat Bible — the reminder that the universe itself does not guarantee our continuance.</w:t>
      </w:r>
    </w:p>
    <w:p>
      <w:pPr>
        <w:spacing w:after="80" w:before="0"/>
      </w:pPr>
    </w:p>
    <w:p>
      <w:pPr>
        <w:pStyle w:val="ListParagraph"/>
        <w:numPr>
          <w:ilvl w:val="0"/>
          <w:numId w:val="2"/>
        </w:numPr>
      </w:pPr>
      <w:r>
        <w:rPr>
          <w:rFonts w:ascii="Georgia" w:cs="Georgia" w:eastAsia="Georgia" w:hAnsi="Georgia"/>
          <w:b/>
          <w:bCs/>
          <w:sz w:val="22"/>
          <w:szCs w:val="22"/>
        </w:rPr>
        <w:t xml:space="preserve">Standalone Lethality: </w:t>
      </w:r>
      <w:r>
        <w:rPr>
          <w:rFonts w:ascii="Georgia" w:cs="Georgia" w:eastAsia="Georgia" w:hAnsi="Georgia"/>
          <w:sz w:val="22"/>
          <w:szCs w:val="22"/>
        </w:rPr>
        <w:t xml:space="preserve">100%. Universal. Instantaneous.</w:t>
      </w:r>
    </w:p>
    <w:p>
      <w:pPr>
        <w:pStyle w:val="ListParagraph"/>
        <w:numPr>
          <w:ilvl w:val="0"/>
          <w:numId w:val="2"/>
        </w:numPr>
      </w:pPr>
      <w:r>
        <w:rPr>
          <w:rFonts w:ascii="Georgia" w:cs="Georgia" w:eastAsia="Georgia" w:hAnsi="Georgia"/>
          <w:b/>
          <w:bCs/>
          <w:sz w:val="22"/>
          <w:szCs w:val="22"/>
        </w:rPr>
        <w:t xml:space="preserve">Timeline to Impact: </w:t>
      </w:r>
      <w:r>
        <w:rPr>
          <w:rFonts w:ascii="Georgia" w:cs="Georgia" w:eastAsia="Georgia" w:hAnsi="Georgia"/>
          <w:sz w:val="22"/>
          <w:szCs w:val="22"/>
        </w:rPr>
        <w:t xml:space="preserve">Zero warning. No precursor signature possible.</w:t>
      </w:r>
    </w:p>
    <w:p>
      <w:pPr>
        <w:spacing w:after="12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none" w:color="FFFFFF" w:sz="0"/>
              <w:left w:val="none" w:color="FFFFFF" w:sz="0"/>
              <w:bottom w:val="none" w:color="FFFFFF" w:sz="0"/>
              <w:right w:val="none" w:color="FFFFFF" w:sz="0"/>
            </w:tcBorders>
            <w:shd w:fill="0D1F3C" w:val="clear"/>
            <w:tcMar>
              <w:top w:type="dxa" w:w="120"/>
              <w:left w:type="dxa" w:w="160"/>
              <w:bottom w:type="dxa" w:w="120"/>
              <w:right w:type="dxa" w:w="160"/>
            </w:tcMar>
            <w:vAlign w:val="center"/>
          </w:tcPr>
          <w:p>
            <w:pPr>
              <w:jc w:val="center"/>
            </w:pPr>
            <w:r>
              <w:rPr>
                <w:rFonts w:ascii="Georgia" w:cs="Georgia" w:eastAsia="Georgia" w:hAnsi="Georgia"/>
                <w:b/>
                <w:bCs/>
                <w:color w:val="FFFFFF"/>
                <w:sz w:val="36"/>
                <w:szCs w:val="36"/>
              </w:rPr>
              <w:t xml:space="preserve">E2</w:t>
            </w:r>
          </w:p>
        </w:tc>
        <w:tc>
          <w:tcPr>
            <w:tcW w:type="dxa" w:w="6480"/>
            <w:tcBorders>
              <w:top w:val="none" w:color="FFFFFF" w:sz="0"/>
              <w:left w:val="none" w:color="FFFFFF" w:sz="0"/>
              <w:bottom w:val="none" w:color="FFFFFF" w:sz="0"/>
              <w:right w:val="none" w:color="FFFFFF" w:sz="0"/>
            </w:tcBorders>
            <w:shd w:fill="2E5F8A" w:val="clear"/>
            <w:tcMar>
              <w:top w:type="dxa" w:w="120"/>
              <w:left w:type="dxa" w:w="200"/>
              <w:bottom w:type="dxa" w:w="120"/>
              <w:right w:type="dxa" w:w="200"/>
            </w:tcMar>
            <w:vAlign w:val="center"/>
          </w:tcPr>
          <w:p>
            <w:r>
              <w:rPr>
                <w:rFonts w:ascii="Georgia" w:cs="Georgia" w:eastAsia="Georgia" w:hAnsi="Georgia"/>
                <w:b/>
                <w:bCs/>
                <w:color w:val="FFFFFF"/>
                <w:sz w:val="26"/>
                <w:szCs w:val="26"/>
              </w:rPr>
              <w:t xml:space="preserve">Exotic Particle Events</w:t>
            </w:r>
          </w:p>
        </w:tc>
        <w:tc>
          <w:tcPr>
            <w:tcW w:type="dxa" w:w="1440"/>
            <w:tcBorders>
              <w:top w:val="none" w:color="FFFFFF" w:sz="0"/>
              <w:left w:val="none" w:color="FFFFFF" w:sz="0"/>
              <w:bottom w:val="none" w:color="FFFFFF" w:sz="0"/>
              <w:right w:val="none" w:color="FFFFFF" w:sz="0"/>
            </w:tcBorders>
            <w:shd w:fill="0D1F3C" w:val="clear"/>
            <w:tcMar>
              <w:top w:type="dxa" w:w="120"/>
              <w:left w:type="dxa" w:w="120"/>
              <w:bottom w:type="dxa" w:w="120"/>
              <w:right w:type="dxa" w:w="120"/>
            </w:tcMar>
            <w:vAlign w:val="center"/>
          </w:tcPr>
          <w:p>
            <w:pPr>
              <w:jc w:val="center"/>
            </w:pPr>
            <w:r>
              <w:rPr>
                <w:rFonts w:ascii="Georgia" w:cs="Georgia" w:eastAsia="Georgia" w:hAnsi="Georgia"/>
                <w:b/>
                <w:bCs/>
                <w:color w:val="FFFFFF"/>
                <w:sz w:val="18"/>
                <w:szCs w:val="18"/>
              </w:rPr>
              <w:t xml:space="preserve">TIER III–IV</w:t>
            </w:r>
          </w:p>
        </w:tc>
      </w:tr>
    </w:tbl>
    <w:p>
      <w:pPr>
        <w:spacing w:after="80" w:before="0"/>
      </w:pPr>
    </w:p>
    <w:p>
      <w:pPr>
        <w:spacing w:after="80" w:before="80" w:line="280"/>
        <w:jc w:val="both"/>
      </w:pPr>
      <w:r>
        <w:rPr>
          <w:rFonts w:ascii="Georgia" w:cs="Georgia" w:eastAsia="Georgia" w:hAnsi="Georgia"/>
          <w:sz w:val="22"/>
          <w:szCs w:val="22"/>
        </w:rPr>
        <w:t xml:space="preserve">Strangelet conversion — hypothetical stable strange quark matter that converts ordinary matter on contact — was reviewed in the LHC safety assessment and found to be of negligible probability given observational evidence from cosmic ray interactions with celestial bodies. It is included for completeness of the threat register. The LHC safety assessment stands as the appropriate scientific reference.</w:t>
      </w:r>
    </w:p>
    <w:p>
      <w:pPr>
        <w:spacing w:after="80" w:before="0"/>
      </w:pPr>
    </w:p>
    <w:p>
      <w:r>
        <w:br w:type="page"/>
      </w:r>
    </w:p>
    <w:p>
      <w:pPr>
        <w:spacing w:after="300" w:before="0"/>
      </w:pPr>
    </w:p>
    <w:p>
      <w:pPr>
        <w:pBdr>
          <w:bottom w:val="single" w:color="0D1F3C" w:sz="12" w:space="2"/>
        </w:pBdr>
        <w:spacing w:after="40" w:before="0"/>
        <w:jc w:val="center"/>
      </w:pPr>
      <w:r>
        <w:rPr>
          <w:rFonts w:ascii="Georgia" w:cs="Georgia" w:eastAsia="Georgia" w:hAnsi="Georgia"/>
          <w:b/>
          <w:bCs/>
          <w:color w:val="0D1F3C"/>
          <w:sz w:val="52"/>
          <w:szCs w:val="52"/>
        </w:rPr>
        <w:t xml:space="preserve">PART III — THE INTERACTION MATRIX
When Multiple Scenarios Arrive Together</w:t>
      </w:r>
    </w:p>
    <w:p>
      <w:pPr>
        <w:spacing w:after="20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The Compounding Problem</w:t>
      </w:r>
    </w:p>
    <w:p>
      <w:pPr>
        <w:spacing w:after="80" w:before="80" w:line="280"/>
        <w:jc w:val="both"/>
      </w:pPr>
      <w:r>
        <w:rPr>
          <w:rFonts w:ascii="Georgia" w:cs="Georgia" w:eastAsia="Georgia" w:hAnsi="Georgia"/>
          <w:sz w:val="22"/>
          <w:szCs w:val="22"/>
        </w:rPr>
        <w:t xml:space="preserve">The greatest analytic failure in catastrophic risk assessment is the treatment of scenarios as independent events. They are not. Every scenario in this register interacts with every other scenario through shared mechanisms: atmospheric chemistry, biological substrate, supply chain integrity, institutional capacity, and the fragility of the knowledge infrastructure that enables any response.</w:t>
      </w:r>
    </w:p>
    <w:p>
      <w:pPr>
        <w:spacing w:after="80" w:before="0"/>
      </w:pPr>
    </w:p>
    <w:p>
      <w:pPr>
        <w:spacing w:after="80" w:before="80" w:line="280"/>
        <w:jc w:val="both"/>
      </w:pPr>
      <w:r>
        <w:rPr>
          <w:rFonts w:ascii="Georgia" w:cs="Georgia" w:eastAsia="Georgia" w:hAnsi="Georgia"/>
          <w:sz w:val="22"/>
          <w:szCs w:val="22"/>
        </w:rPr>
        <w:t xml:space="preserve">The table below maps the highest-impact pairwise interactions. A score of 10 indicates that the combination produces an outcome qualitatively worse than either scenario in isolation — not merely additive, but synergistic.</w:t>
      </w:r>
    </w:p>
    <w:p>
      <w:pPr>
        <w:spacing w:after="10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680"/>
        <w:gridCol w:w="3000"/>
        <w:gridCol w:w="800"/>
      </w:tblGrid>
      <w:tr>
        <w:trPr>
          <w:tblHeader/>
        </w:trPr>
        <w:tc>
          <w:tcPr>
            <w:tcW w:type="dxa" w:w="1440"/>
            <w:tcBorders>
              <w:top w:val="single" w:color="2E5F8A" w:sz="4"/>
              <w:left w:val="single" w:color="2E5F8A" w:sz="4"/>
              <w:bottom w:val="single" w:color="2E5F8A" w:sz="4"/>
              <w:right w:val="single" w:color="2E5F8A" w:sz="4"/>
            </w:tcBorders>
            <w:shd w:fill="0D1F3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Scenario A</w:t>
            </w:r>
          </w:p>
        </w:tc>
        <w:tc>
          <w:tcPr>
            <w:tcW w:type="dxa" w:w="1440"/>
            <w:tcBorders>
              <w:top w:val="single" w:color="2E5F8A" w:sz="4"/>
              <w:left w:val="single" w:color="2E5F8A" w:sz="4"/>
              <w:bottom w:val="single" w:color="2E5F8A" w:sz="4"/>
              <w:right w:val="single" w:color="2E5F8A" w:sz="4"/>
            </w:tcBorders>
            <w:shd w:fill="0D1F3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Scenario B</w:t>
            </w:r>
          </w:p>
        </w:tc>
        <w:tc>
          <w:tcPr>
            <w:tcW w:type="dxa" w:w="1680"/>
            <w:tcBorders>
              <w:top w:val="single" w:color="2E5F8A" w:sz="4"/>
              <w:left w:val="single" w:color="2E5F8A" w:sz="4"/>
              <w:bottom w:val="single" w:color="2E5F8A" w:sz="4"/>
              <w:right w:val="single" w:color="2E5F8A" w:sz="4"/>
            </w:tcBorders>
            <w:shd w:fill="0D1F3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Interaction Type</w:t>
            </w:r>
          </w:p>
        </w:tc>
        <w:tc>
          <w:tcPr>
            <w:tcW w:type="dxa" w:w="3000"/>
            <w:tcBorders>
              <w:top w:val="single" w:color="2E5F8A" w:sz="4"/>
              <w:left w:val="single" w:color="2E5F8A" w:sz="4"/>
              <w:bottom w:val="single" w:color="2E5F8A" w:sz="4"/>
              <w:right w:val="single" w:color="2E5F8A" w:sz="4"/>
            </w:tcBorders>
            <w:shd w:fill="0D1F3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Combined Outcome</w:t>
            </w:r>
          </w:p>
        </w:tc>
        <w:tc>
          <w:tcPr>
            <w:tcW w:type="dxa" w:w="800"/>
            <w:tcBorders>
              <w:top w:val="single" w:color="2E5F8A" w:sz="4"/>
              <w:left w:val="single" w:color="2E5F8A" w:sz="4"/>
              <w:bottom w:val="single" w:color="2E5F8A" w:sz="4"/>
              <w:right w:val="single" w:color="2E5F8A" w:sz="4"/>
            </w:tcBorders>
            <w:shd w:fill="0D1F3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Severity</w:t>
            </w:r>
          </w:p>
        </w:tc>
      </w:tr>
      <w:tr>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A1 (Engineered Pandemic)</w:t>
            </w:r>
          </w:p>
        </w:tc>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D1 (Nuclear Exchange)</w:t>
            </w:r>
          </w:p>
        </w:tc>
        <w:tc>
          <w:tcPr>
            <w:tcW w:type="dxa" w:w="16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Sequential trigger</w:t>
            </w:r>
          </w:p>
        </w:tc>
        <w:tc>
          <w:tcPr>
            <w:tcW w:type="dxa" w:w="30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Pandemic collapses governance; nuclear exchange follows as state control fails</w:t>
            </w:r>
          </w:p>
        </w:tc>
        <w:tc>
          <w:tcPr>
            <w:tcW w:type="dxa" w:w="8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10/10</w:t>
            </w:r>
          </w:p>
        </w:tc>
      </w:tr>
      <w:tr>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A2 (Substrate Collapse)</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A1 (Engineered Pandemic)</w:t>
            </w:r>
          </w:p>
        </w:tc>
        <w:tc>
          <w:tcPr>
            <w:tcW w:type="dxa" w:w="168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Amplifier</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Immune-compromised population has no reserve against novel pathogen</w:t>
            </w:r>
          </w:p>
        </w:tc>
        <w:tc>
          <w:tcPr>
            <w:tcW w:type="dxa" w:w="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10/10</w:t>
            </w:r>
          </w:p>
        </w:tc>
      </w:tr>
      <w:tr>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A2 (Substrate Collapse)</w:t>
            </w:r>
          </w:p>
        </w:tc>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A3 (Natural Pandemic)</w:t>
            </w:r>
          </w:p>
        </w:tc>
        <w:tc>
          <w:tcPr>
            <w:tcW w:type="dxa" w:w="16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Amplifier</w:t>
            </w:r>
          </w:p>
        </w:tc>
        <w:tc>
          <w:tcPr>
            <w:tcW w:type="dxa" w:w="30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Same mechanism as above; population biologically vulnerable before outbreak begins</w:t>
            </w:r>
          </w:p>
        </w:tc>
        <w:tc>
          <w:tcPr>
            <w:tcW w:type="dxa" w:w="8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9/10</w:t>
            </w:r>
          </w:p>
        </w:tc>
      </w:tr>
      <w:tr>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B1 (CME)</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A1 (Engineered Pandemic)</w:t>
            </w:r>
          </w:p>
        </w:tc>
        <w:tc>
          <w:tcPr>
            <w:tcW w:type="dxa" w:w="168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Cascade enabler</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Grid destruction eliminates pharmaceutical cold chain, vaccine storage, hospital function</w:t>
            </w:r>
          </w:p>
        </w:tc>
        <w:tc>
          <w:tcPr>
            <w:tcW w:type="dxa" w:w="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9/10</w:t>
            </w:r>
          </w:p>
        </w:tc>
      </w:tr>
      <w:tr>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C1 (Supervolcano)</w:t>
            </w:r>
          </w:p>
        </w:tc>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A3 (Natural Pandemic)</w:t>
            </w:r>
          </w:p>
        </w:tc>
        <w:tc>
          <w:tcPr>
            <w:tcW w:type="dxa" w:w="16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Classic pairing</w:t>
            </w:r>
          </w:p>
        </w:tc>
        <w:tc>
          <w:tcPr>
            <w:tcW w:type="dxa" w:w="30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Volcanic winter produces famine stress; pandemic emerges in immunologically weakened population</w:t>
            </w:r>
          </w:p>
        </w:tc>
        <w:tc>
          <w:tcPr>
            <w:tcW w:type="dxa" w:w="8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9/10</w:t>
            </w:r>
          </w:p>
        </w:tc>
      </w:tr>
      <w:tr>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C6 (Methane Clathrate)</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C2 (Ice Cap Melt)</w:t>
            </w:r>
          </w:p>
        </w:tc>
        <w:tc>
          <w:tcPr>
            <w:tcW w:type="dxa" w:w="168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Mutual acceleration</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Warming drives clathrate release; clathrate release drives warming; feedback loop with no natural brake</w:t>
            </w:r>
          </w:p>
        </w:tc>
        <w:tc>
          <w:tcPr>
            <w:tcW w:type="dxa" w:w="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10/10</w:t>
            </w:r>
          </w:p>
        </w:tc>
      </w:tr>
      <w:tr>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D1 (Nuclear)</w:t>
            </w:r>
          </w:p>
        </w:tc>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C1 (Supervolcano)</w:t>
            </w:r>
          </w:p>
        </w:tc>
        <w:tc>
          <w:tcPr>
            <w:tcW w:type="dxa" w:w="16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Stacking winters</w:t>
            </w:r>
          </w:p>
        </w:tc>
        <w:tc>
          <w:tcPr>
            <w:tcW w:type="dxa" w:w="30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Nuclear winter + volcanic winter = light extinction at surface; photosynthesis ceases globally</w:t>
            </w:r>
          </w:p>
        </w:tc>
        <w:tc>
          <w:tcPr>
            <w:tcW w:type="dxa" w:w="8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10/10</w:t>
            </w:r>
          </w:p>
        </w:tc>
      </w:tr>
      <w:tr>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D5 (Climate Cascade)</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C6 (Methane Clathrate)</w:t>
            </w:r>
          </w:p>
        </w:tc>
        <w:tc>
          <w:tcPr>
            <w:tcW w:type="dxa" w:w="168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Activation trigger</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Climate cascade crosses clathrate threshold; runaway greenhouse becomes probable</w:t>
            </w:r>
          </w:p>
        </w:tc>
        <w:tc>
          <w:tcPr>
            <w:tcW w:type="dxa" w:w="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10/10</w:t>
            </w:r>
          </w:p>
        </w:tc>
      </w:tr>
      <w:tr>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A4 (AMR)</w:t>
            </w:r>
          </w:p>
        </w:tc>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A1 (Engineered Pandemic)</w:t>
            </w:r>
          </w:p>
        </w:tc>
        <w:tc>
          <w:tcPr>
            <w:tcW w:type="dxa" w:w="16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Resistance enabler</w:t>
            </w:r>
          </w:p>
        </w:tc>
        <w:tc>
          <w:tcPr>
            <w:tcW w:type="dxa" w:w="30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AMR removes last-resort antibiotic treatment for secondary bacterial infections in pandemic survivors</w:t>
            </w:r>
          </w:p>
        </w:tc>
        <w:tc>
          <w:tcPr>
            <w:tcW w:type="dxa" w:w="8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9/10</w:t>
            </w:r>
          </w:p>
        </w:tc>
      </w:tr>
      <w:tr>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D2 (Social Collapse)</w:t>
            </w:r>
          </w:p>
        </w:tc>
        <w:tc>
          <w:tcPr>
            <w:tcW w:type="dxa" w:w="144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D1 (Nuclear)</w:t>
            </w:r>
          </w:p>
        </w:tc>
        <w:tc>
          <w:tcPr>
            <w:tcW w:type="dxa" w:w="168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Classic terminal sequence</w:t>
            </w:r>
          </w:p>
        </w:tc>
        <w:tc>
          <w:tcPr>
            <w:tcW w:type="dxa" w:w="3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Social collapse removes institutional checks on nuclear deployment; exchange follows</w:t>
            </w:r>
          </w:p>
        </w:tc>
        <w:tc>
          <w:tcPr>
            <w:tcW w:type="dxa" w:w="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pPr>
              <w:spacing w:line="240"/>
            </w:pPr>
            <w:r>
              <w:rPr>
                <w:rFonts w:ascii="Georgia" w:cs="Georgia" w:eastAsia="Georgia" w:hAnsi="Georgia"/>
                <w:sz w:val="18"/>
                <w:szCs w:val="18"/>
              </w:rPr>
              <w:t xml:space="preserve">10/10</w:t>
            </w:r>
          </w:p>
        </w:tc>
      </w:tr>
      <w:tr>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A2 (Substrate)</w:t>
            </w:r>
          </w:p>
        </w:tc>
        <w:tc>
          <w:tcPr>
            <w:tcW w:type="dxa" w:w="144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D6 (Resource Depletion)</w:t>
            </w:r>
          </w:p>
        </w:tc>
        <w:tc>
          <w:tcPr>
            <w:tcW w:type="dxa" w:w="168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Co-running</w:t>
            </w:r>
          </w:p>
        </w:tc>
        <w:tc>
          <w:tcPr>
            <w:tcW w:type="dxa" w:w="30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Both already underway simultaneously; compound effect on carrying capacity and recovery biology</w:t>
            </w:r>
          </w:p>
        </w:tc>
        <w:tc>
          <w:tcPr>
            <w:tcW w:type="dxa" w:w="800"/>
            <w:tcBorders>
              <w:top w:val="single" w:color="BBBBBB" w:sz="4"/>
              <w:left w:val="single" w:color="BBBBBB" w:sz="4"/>
              <w:bottom w:val="single" w:color="BBBBBB" w:sz="4"/>
              <w:right w:val="single" w:color="BBBBBB" w:sz="4"/>
            </w:tcBorders>
            <w:shd w:fill="F2F6FA" w:val="clear"/>
            <w:tcMar>
              <w:top w:type="dxa" w:w="60"/>
              <w:left w:type="dxa" w:w="120"/>
              <w:bottom w:type="dxa" w:w="60"/>
              <w:right w:type="dxa" w:w="120"/>
            </w:tcMar>
          </w:tcPr>
          <w:p>
            <w:pPr>
              <w:spacing w:line="240"/>
            </w:pPr>
            <w:r>
              <w:rPr>
                <w:rFonts w:ascii="Georgia" w:cs="Georgia" w:eastAsia="Georgia" w:hAnsi="Georgia"/>
                <w:sz w:val="18"/>
                <w:szCs w:val="18"/>
              </w:rPr>
              <w:t xml:space="preserve">9/10</w:t>
            </w:r>
          </w:p>
        </w:tc>
      </w:tr>
    </w:tbl>
    <w:p>
      <w:pPr>
        <w:spacing w:after="120" w:before="0"/>
      </w:pPr>
    </w:p>
    <w:p>
      <w:pPr>
        <w:pStyle w:val="Heading2"/>
        <w:spacing w:after="100" w:before="240"/>
      </w:pPr>
      <w:r>
        <w:rPr>
          <w:rFonts w:ascii="Georgia" w:cs="Georgia" w:eastAsia="Georgia" w:hAnsi="Georgia"/>
          <w:b/>
          <w:bCs/>
          <w:color w:val="2E5F8A"/>
          <w:sz w:val="26"/>
          <w:szCs w:val="26"/>
        </w:rPr>
        <w:t xml:space="preserve">The Terminal Cascade Sequence</w:t>
      </w:r>
    </w:p>
    <w:p>
      <w:pPr>
        <w:spacing w:after="80" w:before="80" w:line="280"/>
        <w:jc w:val="both"/>
      </w:pPr>
      <w:r>
        <w:rPr>
          <w:rFonts w:ascii="Georgia" w:cs="Georgia" w:eastAsia="Georgia" w:hAnsi="Georgia"/>
          <w:sz w:val="22"/>
          <w:szCs w:val="22"/>
        </w:rPr>
        <w:t xml:space="preserve">The most dangerous pathway identified by this matrix is a five-step terminal cascade that is not only plausible but partially initiated:</w:t>
      </w:r>
    </w:p>
    <w:p>
      <w:pPr>
        <w:spacing w:after="80" w:before="0"/>
      </w:pPr>
    </w:p>
    <w:p>
      <w:pPr>
        <w:pStyle w:val="ListParagraph"/>
        <w:numPr>
          <w:ilvl w:val="0"/>
          <w:numId w:val="3"/>
        </w:numPr>
      </w:pPr>
      <w:r>
        <w:rPr>
          <w:rFonts w:ascii="Georgia" w:cs="Georgia" w:eastAsia="Georgia" w:hAnsi="Georgia"/>
          <w:b/>
          <w:bCs/>
          <w:sz w:val="22"/>
          <w:szCs w:val="22"/>
        </w:rPr>
        <w:t xml:space="preserve">A2 (Substrate Collapse) </w:t>
      </w:r>
      <w:r>
        <w:rPr>
          <w:rFonts w:ascii="Georgia" w:cs="Georgia" w:eastAsia="Georgia" w:hAnsi="Georgia"/>
          <w:sz w:val="22"/>
          <w:szCs w:val="22"/>
        </w:rPr>
        <w:t xml:space="preserve">degrades population biological resilience — already running</w:t>
      </w:r>
    </w:p>
    <w:p>
      <w:pPr>
        <w:pStyle w:val="ListParagraph"/>
        <w:numPr>
          <w:ilvl w:val="0"/>
          <w:numId w:val="3"/>
        </w:numPr>
      </w:pPr>
      <w:r>
        <w:rPr>
          <w:rFonts w:ascii="Georgia" w:cs="Georgia" w:eastAsia="Georgia" w:hAnsi="Georgia"/>
          <w:b/>
          <w:bCs/>
          <w:sz w:val="22"/>
          <w:szCs w:val="22"/>
        </w:rPr>
        <w:t xml:space="preserve">D5 (Climate Cascade) </w:t>
      </w:r>
      <w:r>
        <w:rPr>
          <w:rFonts w:ascii="Georgia" w:cs="Georgia" w:eastAsia="Georgia" w:hAnsi="Georgia"/>
          <w:sz w:val="22"/>
          <w:szCs w:val="22"/>
        </w:rPr>
        <w:t xml:space="preserve">crosses C6 (Methane Clathrate) threshold — feedback initiated</w:t>
      </w:r>
    </w:p>
    <w:p>
      <w:pPr>
        <w:pStyle w:val="ListParagraph"/>
        <w:numPr>
          <w:ilvl w:val="0"/>
          <w:numId w:val="3"/>
        </w:numPr>
      </w:pPr>
      <w:r>
        <w:rPr>
          <w:rFonts w:ascii="Georgia" w:cs="Georgia" w:eastAsia="Georgia" w:hAnsi="Georgia"/>
          <w:b/>
          <w:bCs/>
          <w:sz w:val="22"/>
          <w:szCs w:val="22"/>
        </w:rPr>
        <w:t xml:space="preserve">C2 (Ice Cap Melt) </w:t>
      </w:r>
      <w:r>
        <w:rPr>
          <w:rFonts w:ascii="Georgia" w:cs="Georgia" w:eastAsia="Georgia" w:hAnsi="Georgia"/>
          <w:sz w:val="22"/>
          <w:szCs w:val="22"/>
        </w:rPr>
        <w:t xml:space="preserve">and D5 compound, producing resource and displacement crises — D2 (Social Collapse) accelerates</w:t>
      </w:r>
    </w:p>
    <w:p>
      <w:pPr>
        <w:pStyle w:val="ListParagraph"/>
        <w:numPr>
          <w:ilvl w:val="0"/>
          <w:numId w:val="3"/>
        </w:numPr>
      </w:pPr>
      <w:r>
        <w:rPr>
          <w:rFonts w:ascii="Georgia" w:cs="Georgia" w:eastAsia="Georgia" w:hAnsi="Georgia"/>
          <w:b/>
          <w:bCs/>
          <w:sz w:val="22"/>
          <w:szCs w:val="22"/>
        </w:rPr>
        <w:t xml:space="preserve">D2 (Social Collapse) </w:t>
      </w:r>
      <w:r>
        <w:rPr>
          <w:rFonts w:ascii="Georgia" w:cs="Georgia" w:eastAsia="Georgia" w:hAnsi="Georgia"/>
          <w:sz w:val="22"/>
          <w:szCs w:val="22"/>
        </w:rPr>
        <w:t xml:space="preserve">removes institutional constraints on D1 (Nuclear Exchange)</w:t>
      </w:r>
    </w:p>
    <w:p>
      <w:pPr>
        <w:pStyle w:val="ListParagraph"/>
        <w:numPr>
          <w:ilvl w:val="0"/>
          <w:numId w:val="3"/>
        </w:numPr>
      </w:pPr>
      <w:r>
        <w:rPr>
          <w:rFonts w:ascii="Georgia" w:cs="Georgia" w:eastAsia="Georgia" w:hAnsi="Georgia"/>
          <w:b/>
          <w:bCs/>
          <w:sz w:val="22"/>
          <w:szCs w:val="22"/>
        </w:rPr>
        <w:t xml:space="preserve">D1 (Nuclear) </w:t>
      </w:r>
      <w:r>
        <w:rPr>
          <w:rFonts w:ascii="Georgia" w:cs="Georgia" w:eastAsia="Georgia" w:hAnsi="Georgia"/>
          <w:sz w:val="22"/>
          <w:szCs w:val="22"/>
        </w:rPr>
        <w:t xml:space="preserve">combined with C1 (Supervolcano, probability elevated by tectonic stress from ice unloading) </w:t>
      </w:r>
      <w:r>
        <w:rPr>
          <w:rFonts w:ascii="Georgia" w:cs="Georgia" w:eastAsia="Georgia" w:hAnsi="Georgia"/>
          <w:sz w:val="22"/>
          <w:szCs w:val="22"/>
        </w:rPr>
        <w:t xml:space="preserve">produces stacked winter — terminal surface condition</w:t>
      </w:r>
    </w:p>
    <w:p>
      <w:pPr>
        <w:spacing w:after="80" w:before="0"/>
      </w:pPr>
    </w:p>
    <w:p>
      <w:pPr>
        <w:spacing w:after="80" w:before="80" w:line="280"/>
        <w:jc w:val="both"/>
      </w:pPr>
      <w:r>
        <w:rPr>
          <w:rFonts w:ascii="Georgia" w:cs="Georgia" w:eastAsia="Georgia" w:hAnsi="Georgia"/>
          <w:sz w:val="22"/>
          <w:szCs w:val="22"/>
        </w:rPr>
        <w:t xml:space="preserve">None of these steps are science fiction. Each is grounded in published scientific literature. The cascade is not predicted — it is mapped as a plausible pathway that becomes more probable as each preceding step advances.</w:t>
      </w:r>
    </w:p>
    <w:p>
      <w:r>
        <w:br w:type="page"/>
      </w:r>
    </w:p>
    <w:p>
      <w:pPr>
        <w:spacing w:after="300" w:before="0"/>
      </w:pPr>
    </w:p>
    <w:p>
      <w:pPr>
        <w:pBdr>
          <w:bottom w:val="single" w:color="0D1F3C" w:sz="12" w:space="2"/>
        </w:pBdr>
        <w:spacing w:after="40" w:before="0"/>
        <w:jc w:val="center"/>
      </w:pPr>
      <w:r>
        <w:rPr>
          <w:rFonts w:ascii="Georgia" w:cs="Georgia" w:eastAsia="Georgia" w:hAnsi="Georgia"/>
          <w:b/>
          <w:bCs/>
          <w:color w:val="0D1F3C"/>
          <w:sz w:val="52"/>
          <w:szCs w:val="52"/>
        </w:rPr>
        <w:t xml:space="preserve">PART IV — THE MISCALCULATION OF THE PRESERVED
A Direct Address to Those Who Believe They Have a Plan</w:t>
      </w:r>
    </w:p>
    <w:p>
      <w:pPr>
        <w:spacing w:after="20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To Whom This Section Is Written</w:t>
      </w:r>
    </w:p>
    <w:p>
      <w:pPr>
        <w:spacing w:after="80" w:before="80" w:line="280"/>
        <w:jc w:val="both"/>
      </w:pPr>
      <w:r>
        <w:rPr>
          <w:rFonts w:ascii="Georgia" w:cs="Georgia" w:eastAsia="Georgia" w:hAnsi="Georgia"/>
          <w:sz w:val="22"/>
          <w:szCs w:val="22"/>
        </w:rPr>
        <w:t xml:space="preserve">This section is addressed to the specific population of human beings who have the resources, the information access, and the institutional influence to have already considered personal survival in the scenarios described in this Codex. You know who you are. You have reviewed real estate in New Zealand. You have considered private islands. You have funded or built underground facilities. You have hired security personnel and stocked supplies. You have, in short, made a decision that your survival and the survival of your selected group is a viable independent project.</w:t>
      </w:r>
    </w:p>
    <w:p>
      <w:pPr>
        <w:spacing w:after="80" w:before="0"/>
      </w:pPr>
    </w:p>
    <w:p>
      <w:pPr>
        <w:spacing w:after="80" w:before="80" w:line="280"/>
        <w:jc w:val="both"/>
      </w:pPr>
      <w:r>
        <w:rPr>
          <w:rFonts w:ascii="Georgia" w:cs="Georgia" w:eastAsia="Georgia" w:hAnsi="Georgia"/>
          <w:sz w:val="22"/>
          <w:szCs w:val="22"/>
        </w:rPr>
        <w:t xml:space="preserve">This section is not a moral critique of that decision. It is an engineering assessment of why it fails.</w:t>
      </w:r>
    </w:p>
    <w:p>
      <w:pPr>
        <w:spacing w:after="120" w:before="0"/>
      </w:pPr>
    </w:p>
    <w:p>
      <w:pPr>
        <w:pStyle w:val="Heading2"/>
        <w:spacing w:after="100" w:before="240"/>
      </w:pPr>
      <w:r>
        <w:rPr>
          <w:rFonts w:ascii="Georgia" w:cs="Georgia" w:eastAsia="Georgia" w:hAnsi="Georgia"/>
          <w:b/>
          <w:bCs/>
          <w:color w:val="2E5F8A"/>
          <w:sz w:val="26"/>
          <w:szCs w:val="26"/>
        </w:rPr>
        <w:t xml:space="preserve">The Five Failure Modes of Isolated Survival</w:t>
      </w:r>
    </w:p>
    <w:p>
      <w:pPr>
        <w:pStyle w:val="Heading3"/>
        <w:spacing w:after="80" w:before="180"/>
      </w:pPr>
      <w:r>
        <w:rPr>
          <w:rFonts w:ascii="Georgia" w:cs="Georgia" w:eastAsia="Georgia" w:hAnsi="Georgia"/>
          <w:b/>
          <w:bCs/>
          <w:i/>
          <w:iCs/>
          <w:color w:val="444444"/>
          <w:sz w:val="23"/>
          <w:szCs w:val="23"/>
        </w:rPr>
        <w:t xml:space="preserve">Failure Mode 1: The Supply Chain You Cannot Replicate</w:t>
      </w:r>
    </w:p>
    <w:p>
      <w:pPr>
        <w:spacing w:after="80" w:before="80" w:line="280"/>
        <w:jc w:val="both"/>
      </w:pPr>
      <w:r>
        <w:rPr>
          <w:rFonts w:ascii="Georgia" w:cs="Georgia" w:eastAsia="Georgia" w:hAnsi="Georgia"/>
          <w:sz w:val="22"/>
          <w:szCs w:val="22"/>
        </w:rPr>
        <w:t xml:space="preserve">Every piece of equipment in your facility was manufactured by a supply chain that ceases to exist in the scenarios you are preparing for. Air filtration membranes. Water purification components. Grow light spectrum bulbs. Battery electrolyte. Diesel fuel. Medical equipment. Pharmaceuticals. Each has a replacement cycle measured in months to years. Each requires a manufacturing ecosystem that does not exist post-collapse. You have not built a civilization. You have built a warehouse with a countdown timer.</w:t>
      </w:r>
    </w:p>
    <w:p>
      <w:pPr>
        <w:spacing w:after="120" w:before="0"/>
      </w:pPr>
    </w:p>
    <w:p>
      <w:pPr>
        <w:pStyle w:val="Heading3"/>
        <w:spacing w:after="80" w:before="180"/>
      </w:pPr>
      <w:r>
        <w:rPr>
          <w:rFonts w:ascii="Georgia" w:cs="Georgia" w:eastAsia="Georgia" w:hAnsi="Georgia"/>
          <w:b/>
          <w:bCs/>
          <w:i/>
          <w:iCs/>
          <w:color w:val="444444"/>
          <w:sz w:val="23"/>
          <w:szCs w:val="23"/>
        </w:rPr>
        <w:t xml:space="preserve">Failure Mode 2: The Knowledge You Cannot Preserve</w:t>
      </w:r>
    </w:p>
    <w:p>
      <w:pPr>
        <w:spacing w:after="80" w:before="80" w:line="280"/>
        <w:jc w:val="both"/>
      </w:pPr>
      <w:r>
        <w:rPr>
          <w:rFonts w:ascii="Georgia" w:cs="Georgia" w:eastAsia="Georgia" w:hAnsi="Georgia"/>
          <w:sz w:val="22"/>
          <w:szCs w:val="22"/>
        </w:rPr>
        <w:t xml:space="preserve">The knowledge required to manufacture your own replacement parts is not stored in any single facility. It is distributed across thousands of specialists, production facilities, and accumulated institutional memory. The person who knows how to synthesize the membrane material for your RO filter is not in your bunker. The person who can repair your HVAC refrigerant system is not in your bunker. Technical knowledge without practice degrades within 5–10 years. In 20 years, your descendants will not know how to repair what you built. In 50 years, they will not know what it was for.</w:t>
      </w:r>
    </w:p>
    <w:p>
      <w:pPr>
        <w:spacing w:after="120" w:before="0"/>
      </w:pPr>
    </w:p>
    <w:p>
      <w:pPr>
        <w:pStyle w:val="Heading3"/>
        <w:spacing w:after="80" w:before="180"/>
      </w:pPr>
      <w:r>
        <w:rPr>
          <w:rFonts w:ascii="Georgia" w:cs="Georgia" w:eastAsia="Georgia" w:hAnsi="Georgia"/>
          <w:b/>
          <w:bCs/>
          <w:i/>
          <w:iCs/>
          <w:color w:val="444444"/>
          <w:sz w:val="23"/>
          <w:szCs w:val="23"/>
        </w:rPr>
        <w:t xml:space="preserve">Failure Mode 3: The Genetics You Cannot Escape</w:t>
      </w:r>
    </w:p>
    <w:p>
      <w:pPr>
        <w:spacing w:after="80" w:before="80" w:line="280"/>
        <w:jc w:val="both"/>
      </w:pPr>
      <w:r>
        <w:rPr>
          <w:rFonts w:ascii="Georgia" w:cs="Georgia" w:eastAsia="Georgia" w:hAnsi="Georgia"/>
          <w:sz w:val="22"/>
          <w:szCs w:val="22"/>
        </w:rPr>
        <w:t xml:space="preserve">A closed population of fewer than 500 individuals — the practical maximum for most private survival facilities — enters genetic bottleneck conditions within 3–5 generations.</w:t>
      </w:r>
      <w:r>
        <w:rPr>
          <w:rFonts w:ascii="Georgia" w:cs="Georgia" w:eastAsia="Georgia" w:hAnsi="Georgia"/>
          <w:sz w:val="16"/>
          <w:szCs w:val="16"/>
          <w:vertAlign w:val="superscript"/>
        </w:rPr>
        <w:t xml:space="preserve">[33]</w:t>
      </w:r>
      <w:r>
        <w:rPr>
          <w:rFonts w:ascii="Georgia" w:cs="Georgia" w:eastAsia="Georgia" w:hAnsi="Georgia"/>
          <w:sz w:val="22"/>
          <w:szCs w:val="22"/>
        </w:rPr>
        <w:t xml:space="preserve"> Inbreeding depression produces measurable cognitive decline, immune dysfunction, and reproductive failure. The minimum viable population for long-term genetic health without active genetic management is estimated at 500–1,000 individuals for humans.</w:t>
      </w:r>
      <w:r>
        <w:rPr>
          <w:rFonts w:ascii="Georgia" w:cs="Georgia" w:eastAsia="Georgia" w:hAnsi="Georgia"/>
          <w:sz w:val="16"/>
          <w:szCs w:val="16"/>
          <w:vertAlign w:val="superscript"/>
        </w:rPr>
        <w:t xml:space="preserve">[34]</w:t>
      </w:r>
      <w:r>
        <w:rPr>
          <w:rFonts w:ascii="Georgia" w:cs="Georgia" w:eastAsia="Georgia" w:hAnsi="Georgia"/>
          <w:sz w:val="22"/>
          <w:szCs w:val="22"/>
        </w:rPr>
        <w:t xml:space="preserve"> Your facility does not contain that population. Your descendants will be biologically compromised at precisely the moment they need maximum cognitive and immune capacity to rebuild.</w:t>
      </w:r>
    </w:p>
    <w:p>
      <w:pPr>
        <w:spacing w:after="120" w:before="0"/>
      </w:pPr>
    </w:p>
    <w:p>
      <w:pPr>
        <w:pStyle w:val="Heading3"/>
        <w:spacing w:after="80" w:before="180"/>
      </w:pPr>
      <w:r>
        <w:rPr>
          <w:rFonts w:ascii="Georgia" w:cs="Georgia" w:eastAsia="Georgia" w:hAnsi="Georgia"/>
          <w:b/>
          <w:bCs/>
          <w:i/>
          <w:iCs/>
          <w:color w:val="444444"/>
          <w:sz w:val="23"/>
          <w:szCs w:val="23"/>
        </w:rPr>
        <w:t xml:space="preserve">Failure Mode 4: The Psychology You Did Not Model</w:t>
      </w:r>
    </w:p>
    <w:p>
      <w:pPr>
        <w:spacing w:after="80" w:before="80" w:line="280"/>
        <w:jc w:val="both"/>
      </w:pPr>
      <w:r>
        <w:rPr>
          <w:rFonts w:ascii="Georgia" w:cs="Georgia" w:eastAsia="Georgia" w:hAnsi="Georgia"/>
          <w:sz w:val="22"/>
          <w:szCs w:val="22"/>
        </w:rPr>
        <w:t xml:space="preserve">Closed populations in extreme stress conditions do not maintain social cohesion across generational timescales. The psychological literature on isolated communities — submarines, polar stations, prison populations, historical siege conditions — consistently demonstrates the emergence of hierarchical conflict, group fragmentation, and collective decision-making failure within years to decades. You have selected for wealth and power, not for the psychological and social architectures that enable cooperative survival under extreme constraint. These are not the same selection criteria.</w:t>
      </w:r>
    </w:p>
    <w:p>
      <w:pPr>
        <w:spacing w:after="120" w:before="0"/>
      </w:pPr>
    </w:p>
    <w:p>
      <w:pPr>
        <w:pStyle w:val="Heading3"/>
        <w:spacing w:after="80" w:before="180"/>
      </w:pPr>
      <w:r>
        <w:rPr>
          <w:rFonts w:ascii="Georgia" w:cs="Georgia" w:eastAsia="Georgia" w:hAnsi="Georgia"/>
          <w:b/>
          <w:bCs/>
          <w:i/>
          <w:iCs/>
          <w:color w:val="444444"/>
          <w:sz w:val="23"/>
          <w:szCs w:val="23"/>
        </w:rPr>
        <w:t xml:space="preserve">Failure Mode 5: The Ecosystem You Left Behind</w:t>
      </w:r>
    </w:p>
    <w:p>
      <w:pPr>
        <w:spacing w:after="80" w:before="80" w:line="280"/>
        <w:jc w:val="both"/>
      </w:pPr>
      <w:r>
        <w:rPr>
          <w:rFonts w:ascii="Georgia" w:cs="Georgia" w:eastAsia="Georgia" w:hAnsi="Georgia"/>
          <w:sz w:val="22"/>
          <w:szCs w:val="22"/>
        </w:rPr>
        <w:t xml:space="preserve">Human beings are not a closed biological system. We require a functioning ecosystem to provide the services that no facility can replicate at scale: oxygen production, carbon cycling, water purification, soil formation, food web complexity, and the microbial diversity that maintains human immune function. A sealed facility produces a degraded facsimile of these services for years, not decades. Your descendants emerge from your facility into a surface environment that, depending on the scenario, may be cold, dark, irradiated, and biologically sterile — and they emerge with degraded genetics, degraded knowledge, and degraded social capacity. This is not survival. This is a delayed and worse death.</w:t>
      </w:r>
    </w:p>
    <w:p>
      <w:pPr>
        <w:spacing w:after="120" w:before="0"/>
      </w:pPr>
    </w:p>
    <w:p>
      <w:pPr>
        <w:pStyle w:val="Heading2"/>
        <w:spacing w:after="100" w:before="240"/>
      </w:pPr>
      <w:r>
        <w:rPr>
          <w:rFonts w:ascii="Georgia" w:cs="Georgia" w:eastAsia="Georgia" w:hAnsi="Georgia"/>
          <w:b/>
          <w:bCs/>
          <w:color w:val="2E5F8A"/>
          <w:sz w:val="26"/>
          <w:szCs w:val="26"/>
        </w:rPr>
        <w:t xml:space="preserve">What Actually Works</w:t>
      </w:r>
    </w:p>
    <w:p>
      <w:pPr>
        <w:spacing w:after="80" w:before="80" w:line="280"/>
        <w:jc w:val="both"/>
      </w:pPr>
      <w:r>
        <w:rPr>
          <w:rFonts w:ascii="Georgia" w:cs="Georgia" w:eastAsia="Georgia" w:hAnsi="Georgia"/>
          <w:sz w:val="22"/>
          <w:szCs w:val="22"/>
        </w:rPr>
        <w:t xml:space="preserve">The research on what produces civilizational survival after catastrophic events is consistent and unambiguous. It is not private facilities. It is distributed networks of people with maintained skills, maintained knowledge, maintained genetic diversity, and maintained social trust.</w:t>
      </w:r>
    </w:p>
    <w:p>
      <w:pPr>
        <w:spacing w:after="80" w:before="0"/>
      </w:pPr>
    </w:p>
    <w:p>
      <w:pPr>
        <w:spacing w:after="80" w:before="80" w:line="280"/>
        <w:jc w:val="both"/>
      </w:pPr>
      <w:r>
        <w:rPr>
          <w:rFonts w:ascii="Georgia" w:cs="Georgia" w:eastAsia="Georgia" w:hAnsi="Georgia"/>
          <w:sz w:val="22"/>
          <w:szCs w:val="22"/>
        </w:rPr>
        <w:t xml:space="preserve">The investment that produces survivable outcomes is:</w:t>
      </w:r>
    </w:p>
    <w:p>
      <w:pPr>
        <w:spacing w:after="60" w:before="0"/>
      </w:pPr>
    </w:p>
    <w:p>
      <w:pPr>
        <w:pStyle w:val="ListParagraph"/>
        <w:numPr>
          <w:ilvl w:val="0"/>
          <w:numId w:val="2"/>
        </w:numPr>
      </w:pPr>
      <w:r>
        <w:rPr>
          <w:rFonts w:ascii="Georgia" w:cs="Georgia" w:eastAsia="Georgia" w:hAnsi="Georgia"/>
          <w:sz w:val="22"/>
          <w:szCs w:val="22"/>
        </w:rPr>
        <w:t xml:space="preserve">Distributed seed banks with trained agricultural communities, not centralized vaults</w:t>
      </w:r>
    </w:p>
    <w:p>
      <w:pPr>
        <w:pStyle w:val="ListParagraph"/>
        <w:numPr>
          <w:ilvl w:val="0"/>
          <w:numId w:val="2"/>
        </w:numPr>
      </w:pPr>
      <w:r>
        <w:rPr>
          <w:rFonts w:ascii="Georgia" w:cs="Georgia" w:eastAsia="Georgia" w:hAnsi="Georgia"/>
          <w:sz w:val="22"/>
          <w:szCs w:val="22"/>
        </w:rPr>
        <w:t xml:space="preserve">Distributed knowledge preservation in multiple redundant human communities, not data servers</w:t>
      </w:r>
    </w:p>
    <w:p>
      <w:pPr>
        <w:pStyle w:val="ListParagraph"/>
        <w:numPr>
          <w:ilvl w:val="0"/>
          <w:numId w:val="2"/>
        </w:numPr>
      </w:pPr>
      <w:r>
        <w:rPr>
          <w:rFonts w:ascii="Georgia" w:cs="Georgia" w:eastAsia="Georgia" w:hAnsi="Georgia"/>
          <w:sz w:val="22"/>
          <w:szCs w:val="22"/>
        </w:rPr>
        <w:t xml:space="preserve">Pre-positioned grid hardening and emergency transformer reserves, not private generators</w:t>
      </w:r>
    </w:p>
    <w:p>
      <w:pPr>
        <w:pStyle w:val="ListParagraph"/>
        <w:numPr>
          <w:ilvl w:val="0"/>
          <w:numId w:val="2"/>
        </w:numPr>
      </w:pPr>
      <w:r>
        <w:rPr>
          <w:rFonts w:ascii="Georgia" w:cs="Georgia" w:eastAsia="Georgia" w:hAnsi="Georgia"/>
          <w:sz w:val="22"/>
          <w:szCs w:val="22"/>
        </w:rPr>
        <w:t xml:space="preserve">International scientific cooperation on remediation technology, not proprietary IP hoarding</w:t>
      </w:r>
    </w:p>
    <w:p>
      <w:pPr>
        <w:pStyle w:val="ListParagraph"/>
        <w:numPr>
          <w:ilvl w:val="0"/>
          <w:numId w:val="2"/>
        </w:numPr>
      </w:pPr>
      <w:r>
        <w:rPr>
          <w:rFonts w:ascii="Georgia" w:cs="Georgia" w:eastAsia="Georgia" w:hAnsi="Georgia"/>
          <w:sz w:val="22"/>
          <w:szCs w:val="22"/>
        </w:rPr>
        <w:t xml:space="preserve">Food system diversification away from monoculture vulnerability, not private food stores</w:t>
      </w:r>
    </w:p>
    <w:p>
      <w:pPr>
        <w:pStyle w:val="ListParagraph"/>
        <w:numPr>
          <w:ilvl w:val="0"/>
          <w:numId w:val="2"/>
        </w:numPr>
      </w:pPr>
      <w:r>
        <w:rPr>
          <w:rFonts w:ascii="Georgia" w:cs="Georgia" w:eastAsia="Georgia" w:hAnsi="Georgia"/>
          <w:sz w:val="22"/>
          <w:szCs w:val="22"/>
        </w:rPr>
        <w:t xml:space="preserve">Functioning public health infrastructure, not private medical facilities for the selected few</w:t>
      </w:r>
    </w:p>
    <w:p>
      <w:pPr>
        <w:spacing w:after="80" w:before="0"/>
      </w:pPr>
    </w:p>
    <w:p>
      <w:pPr>
        <w:spacing w:after="80" w:before="80" w:line="280"/>
        <w:jc w:val="both"/>
      </w:pPr>
      <w:r>
        <w:rPr>
          <w:rFonts w:ascii="Georgia" w:cs="Georgia" w:eastAsia="Georgia" w:hAnsi="Georgia"/>
          <w:sz w:val="22"/>
          <w:szCs w:val="22"/>
        </w:rPr>
        <w:t xml:space="preserve">The people reading this document who have the resources to act have two choices. They can continue building a warehouse with a countdown timer. Or they can redirect that investment toward the distributed, cooperative, knowledge-preserving infrastructure that actually produces species-level survival.</w:t>
      </w:r>
    </w:p>
    <w:p>
      <w:pPr>
        <w:spacing w:after="80" w:before="0"/>
      </w:pPr>
    </w:p>
    <w:p>
      <w:pPr>
        <w:spacing w:after="80" w:before="80" w:line="280"/>
        <w:jc w:val="both"/>
      </w:pPr>
      <w:r>
        <w:rPr>
          <w:rFonts w:ascii="Georgia" w:cs="Georgia" w:eastAsia="Georgia" w:hAnsi="Georgia"/>
          <w:sz w:val="22"/>
          <w:szCs w:val="22"/>
        </w:rPr>
        <w:t xml:space="preserve">The Codex does not tell you what to choose. It tells you what the engineering says.</w:t>
      </w:r>
    </w:p>
    <w:p>
      <w:r>
        <w:br w:type="page"/>
      </w:r>
    </w:p>
    <w:p>
      <w:pPr>
        <w:spacing w:after="300" w:before="0"/>
      </w:pPr>
    </w:p>
    <w:p>
      <w:pPr>
        <w:pBdr>
          <w:bottom w:val="single" w:color="0D1F3C" w:sz="12" w:space="2"/>
        </w:pBdr>
        <w:spacing w:after="40" w:before="0"/>
        <w:jc w:val="center"/>
      </w:pPr>
      <w:r>
        <w:rPr>
          <w:rFonts w:ascii="Georgia" w:cs="Georgia" w:eastAsia="Georgia" w:hAnsi="Georgia"/>
          <w:b/>
          <w:bCs/>
          <w:color w:val="0D1F3C"/>
          <w:sz w:val="52"/>
          <w:szCs w:val="52"/>
        </w:rPr>
        <w:t xml:space="preserve">PART V — THE RESTORATION PARADOX
Humans Recover Faster Than Environments</w:t>
      </w:r>
    </w:p>
    <w:p>
      <w:pPr>
        <w:spacing w:after="20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The Three-Speed Problem</w:t>
      </w:r>
    </w:p>
    <w:p>
      <w:pPr>
        <w:spacing w:after="80" w:before="80" w:line="280"/>
        <w:jc w:val="both"/>
      </w:pPr>
      <w:r>
        <w:rPr>
          <w:rFonts w:ascii="Georgia" w:cs="Georgia" w:eastAsia="Georgia" w:hAnsi="Georgia"/>
          <w:sz w:val="22"/>
          <w:szCs w:val="22"/>
        </w:rPr>
        <w:t xml:space="preserve">As established in the companion Presignal preprint (Carter, 2026</w:t>
      </w:r>
      <w:r>
        <w:rPr>
          <w:rFonts w:ascii="Georgia" w:cs="Georgia" w:eastAsia="Georgia" w:hAnsi="Georgia"/>
          <w:sz w:val="16"/>
          <w:szCs w:val="16"/>
          <w:vertAlign w:val="superscript"/>
        </w:rPr>
        <w:t xml:space="preserve">[35]</w:t>
      </w:r>
      <w:r>
        <w:rPr>
          <w:rFonts w:ascii="Georgia" w:cs="Georgia" w:eastAsia="Georgia" w:hAnsi="Georgia"/>
          <w:sz w:val="22"/>
          <w:szCs w:val="22"/>
        </w:rPr>
        <w:t xml:space="preserve">), demographic and environmental recovery operate on fundamentally different timescales. Life expectancy recovery following major mortality events: 5–10 years.</w:t>
      </w:r>
      <w:r>
        <w:rPr>
          <w:rFonts w:ascii="Georgia" w:cs="Georgia" w:eastAsia="Georgia" w:hAnsi="Georgia"/>
          <w:sz w:val="16"/>
          <w:szCs w:val="16"/>
          <w:vertAlign w:val="superscript"/>
        </w:rPr>
        <w:t xml:space="preserve">[36]</w:t>
      </w:r>
      <w:r>
        <w:rPr>
          <w:rFonts w:ascii="Georgia" w:cs="Georgia" w:eastAsia="Georgia" w:hAnsi="Georgia"/>
          <w:sz w:val="22"/>
          <w:szCs w:val="22"/>
        </w:rPr>
        <w:t xml:space="preserve"> Population recovery to pre-catastrophe levels: 250–550 years. Environmental remediation with current technology: centuries to geological timescales. Environmental remediation with advanced technology: 30–150 years, contingent on first rebuilding the scientific capacity to develop it.</w:t>
      </w:r>
    </w:p>
    <w:p>
      <w:pPr>
        <w:spacing w:after="80" w:before="0"/>
      </w:pPr>
    </w:p>
    <w:p>
      <w:pPr>
        <w:spacing w:after="80" w:before="80" w:line="280"/>
        <w:jc w:val="both"/>
      </w:pPr>
      <w:r>
        <w:rPr>
          <w:rFonts w:ascii="Georgia" w:cs="Georgia" w:eastAsia="Georgia" w:hAnsi="Georgia"/>
          <w:sz w:val="22"/>
          <w:szCs w:val="22"/>
        </w:rPr>
        <w:t xml:space="preserve">The finding that matters for this Codex: in every Tier I and Tier II scenario, human populations rebound numerically long before the environmental substrate that supports them is restored. A numerically recovered humanity inherits the same environmental debts — PFAS contamination, microplastic saturation, atmospheric carbon loading, depleted topsoil — that characterized the pre-catastrophe civilization, plus the additional contamination produced by the catastrophe itself.</w:t>
      </w:r>
    </w:p>
    <w:p>
      <w:pPr>
        <w:spacing w:after="80" w:before="0"/>
      </w:pPr>
    </w:p>
    <w:p>
      <w:pPr>
        <w:spacing w:after="80" w:before="80" w:line="280"/>
        <w:jc w:val="both"/>
      </w:pPr>
      <w:r>
        <w:rPr>
          <w:rFonts w:ascii="Georgia" w:cs="Georgia" w:eastAsia="Georgia" w:hAnsi="Georgia"/>
          <w:sz w:val="22"/>
          <w:szCs w:val="22"/>
        </w:rPr>
        <w:t xml:space="preserve">The exception that proves the rule: in Tier IV scenarios where the atmosphere or hydrosphere is fundamentally altered, there is no demographic recovery to speak of. The restoration paradox only applies where survival is possible. Where the atmosphere becomes Mars, the paradox is replaced by the simpler arithmetic of extinction.</w:t>
      </w:r>
    </w:p>
    <w:p>
      <w:pPr>
        <w:spacing w:after="120" w:before="0"/>
      </w:pPr>
    </w:p>
    <w:p>
      <w:pPr>
        <w:pStyle w:val="Heading2"/>
        <w:spacing w:after="100" w:before="240"/>
      </w:pPr>
      <w:r>
        <w:rPr>
          <w:rFonts w:ascii="Georgia" w:cs="Georgia" w:eastAsia="Georgia" w:hAnsi="Georgia"/>
          <w:b/>
          <w:bCs/>
          <w:color w:val="2E5F8A"/>
          <w:sz w:val="26"/>
          <w:szCs w:val="26"/>
        </w:rPr>
        <w:t xml:space="preserve">The Scientific Recovery Variable</w:t>
      </w:r>
    </w:p>
    <w:p>
      <w:pPr>
        <w:spacing w:after="80" w:before="80" w:line="280"/>
        <w:jc w:val="both"/>
      </w:pPr>
      <w:r>
        <w:rPr>
          <w:rFonts w:ascii="Georgia" w:cs="Georgia" w:eastAsia="Georgia" w:hAnsi="Georgia"/>
          <w:sz w:val="22"/>
          <w:szCs w:val="22"/>
        </w:rPr>
        <w:t xml:space="preserve">The critical latent variable in all post-catastrophe modeling is T</w:t>
      </w:r>
      <w:r>
        <w:rPr>
          <w:rFonts w:ascii="Georgia" w:cs="Georgia" w:eastAsia="Georgia" w:hAnsi="Georgia"/>
          <w:sz w:val="16"/>
          <w:szCs w:val="16"/>
          <w:vertAlign w:val="subscript"/>
        </w:rPr>
        <w:t xml:space="preserve">sci</w:t>
      </w:r>
      <w:r>
        <w:rPr>
          <w:rFonts w:ascii="Georgia" w:cs="Georgia" w:eastAsia="Georgia" w:hAnsi="Georgia"/>
          <w:sz w:val="22"/>
          <w:szCs w:val="22"/>
        </w:rPr>
        <w:t xml:space="preserve"> — the time required to rebuild techno-scientific infrastructure sufficient to develop and deploy advanced remediation technologies. Under two conditions:</w:t>
      </w:r>
    </w:p>
    <w:p>
      <w:pPr>
        <w:spacing w:after="80" w:before="0"/>
      </w:pPr>
    </w:p>
    <w:p>
      <w:pPr>
        <w:pStyle w:val="ListParagraph"/>
        <w:numPr>
          <w:ilvl w:val="0"/>
          <w:numId w:val="2"/>
        </w:numPr>
      </w:pPr>
      <w:r>
        <w:rPr>
          <w:rFonts w:ascii="Georgia" w:cs="Georgia" w:eastAsia="Georgia" w:hAnsi="Georgia"/>
          <w:b/>
          <w:bCs/>
          <w:sz w:val="22"/>
          <w:szCs w:val="22"/>
        </w:rPr>
        <w:t xml:space="preserve">Infrastructure preserved: </w:t>
      </w:r>
      <w:r>
        <w:rPr>
          <w:rFonts w:ascii="Georgia" w:cs="Georgia" w:eastAsia="Georgia" w:hAnsi="Georgia"/>
          <w:sz w:val="22"/>
          <w:szCs w:val="22"/>
        </w:rPr>
        <w:t xml:space="preserve">T</w:t>
      </w:r>
      <w:r>
        <w:rPr>
          <w:rFonts w:ascii="Georgia" w:cs="Georgia" w:eastAsia="Georgia" w:hAnsi="Georgia"/>
          <w:sz w:val="16"/>
          <w:szCs w:val="16"/>
          <w:vertAlign w:val="subscript"/>
        </w:rPr>
        <w:t xml:space="preserve">sci</w:t>
      </w:r>
      <w:r>
        <w:rPr>
          <w:rFonts w:ascii="Georgia" w:cs="Georgia" w:eastAsia="Georgia" w:hAnsi="Georgia"/>
          <w:sz w:val="22"/>
          <w:szCs w:val="22"/>
        </w:rPr>
        <w:t xml:space="preserve"> ≈ 50–100 years. Advanced remediation begins within 70–150 years of the catastrophic event.</w:t>
      </w:r>
    </w:p>
    <w:p>
      <w:pPr>
        <w:pStyle w:val="ListParagraph"/>
        <w:numPr>
          <w:ilvl w:val="0"/>
          <w:numId w:val="2"/>
        </w:numPr>
      </w:pPr>
      <w:r>
        <w:rPr>
          <w:rFonts w:ascii="Georgia" w:cs="Georgia" w:eastAsia="Georgia" w:hAnsi="Georgia"/>
          <w:b/>
          <w:bCs/>
          <w:sz w:val="22"/>
          <w:szCs w:val="22"/>
        </w:rPr>
        <w:t xml:space="preserve">Infrastructure collapsed: </w:t>
      </w:r>
      <w:r>
        <w:rPr>
          <w:rFonts w:ascii="Georgia" w:cs="Georgia" w:eastAsia="Georgia" w:hAnsi="Georgia"/>
          <w:sz w:val="22"/>
          <w:szCs w:val="22"/>
        </w:rPr>
        <w:t xml:space="preserve">T</w:t>
      </w:r>
      <w:r>
        <w:rPr>
          <w:rFonts w:ascii="Georgia" w:cs="Georgia" w:eastAsia="Georgia" w:hAnsi="Georgia"/>
          <w:sz w:val="16"/>
          <w:szCs w:val="16"/>
          <w:vertAlign w:val="subscript"/>
        </w:rPr>
        <w:t xml:space="preserve">sci</w:t>
      </w:r>
      <w:r>
        <w:rPr>
          <w:rFonts w:ascii="Georgia" w:cs="Georgia" w:eastAsia="Georgia" w:hAnsi="Georgia"/>
          <w:sz w:val="22"/>
          <w:szCs w:val="22"/>
        </w:rPr>
        <w:t xml:space="preserve"> extends to 200–400 years — comparable to population recovery itself. The asymmetry disappears because both are severely delayed.</w:t>
      </w:r>
    </w:p>
    <w:p>
      <w:pPr>
        <w:spacing w:after="80" w:before="0"/>
      </w:pPr>
    </w:p>
    <w:p>
      <w:pPr>
        <w:spacing w:after="80" w:before="80" w:line="280"/>
        <w:jc w:val="both"/>
      </w:pPr>
      <w:r>
        <w:rPr>
          <w:rFonts w:ascii="Georgia" w:cs="Georgia" w:eastAsia="Georgia" w:hAnsi="Georgia"/>
          <w:sz w:val="22"/>
          <w:szCs w:val="22"/>
        </w:rPr>
        <w:t xml:space="preserve">Scenario Zero (A2, biological substrate collapse) extends T_sci in all cases by degrading the biological capacity of the population doing the rebuilding. This is the mechanism by which the silent accelerant makes every acute scenario worse: it does not just raise immediate mortality — it lengthens the darkness afterward.</w:t>
      </w:r>
    </w:p>
    <w:p>
      <w:r>
        <w:br w:type="page"/>
      </w:r>
    </w:p>
    <w:p>
      <w:pPr>
        <w:spacing w:after="300" w:before="0"/>
      </w:pPr>
    </w:p>
    <w:p>
      <w:pPr>
        <w:pBdr>
          <w:bottom w:val="single" w:color="0D1F3C" w:sz="12" w:space="2"/>
        </w:pBdr>
        <w:spacing w:after="40" w:before="0"/>
        <w:jc w:val="center"/>
      </w:pPr>
      <w:r>
        <w:rPr>
          <w:rFonts w:ascii="Georgia" w:cs="Georgia" w:eastAsia="Georgia" w:hAnsi="Georgia"/>
          <w:b/>
          <w:bCs/>
          <w:color w:val="0D1F3C"/>
          <w:sz w:val="52"/>
          <w:szCs w:val="52"/>
        </w:rPr>
        <w:t xml:space="preserve">PART VI — THE DECISION WINDOW
The Specific Interventions That Change the Trajectory</w:t>
      </w:r>
    </w:p>
    <w:p>
      <w:pPr>
        <w:spacing w:after="20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This Is Not a Conclusion. It Is a Menu.</w:t>
      </w:r>
    </w:p>
    <w:p>
      <w:pPr>
        <w:spacing w:after="80" w:before="80" w:line="280"/>
        <w:jc w:val="both"/>
      </w:pPr>
      <w:r>
        <w:rPr>
          <w:rFonts w:ascii="Georgia" w:cs="Georgia" w:eastAsia="Georgia" w:hAnsi="Georgia"/>
          <w:sz w:val="22"/>
          <w:szCs w:val="22"/>
        </w:rPr>
        <w:t xml:space="preserve">The preceding five parts mapped the terrain. This part identifies the decision points — specific, actionable, and time-bounded — where human agency can alter the trajectory. These are not vague recommendations. They are intervention nodes that the science identifies as high-leverage relative to their cost.</w:t>
      </w:r>
    </w:p>
    <w:p>
      <w:pPr>
        <w:spacing w:after="120" w:before="0"/>
      </w:pPr>
    </w:p>
    <w:p>
      <w:pPr>
        <w:pStyle w:val="Heading2"/>
        <w:spacing w:after="100" w:before="240"/>
      </w:pPr>
      <w:r>
        <w:rPr>
          <w:rFonts w:ascii="Georgia" w:cs="Georgia" w:eastAsia="Georgia" w:hAnsi="Georgia"/>
          <w:b/>
          <w:bCs/>
          <w:color w:val="2E5F8A"/>
          <w:sz w:val="26"/>
          <w:szCs w:val="26"/>
        </w:rPr>
        <w:t xml:space="preserve">Intervention Node 1: Grid Hardening Against B1 (CME)</w:t>
      </w:r>
    </w:p>
    <w:p>
      <w:pPr>
        <w:spacing w:after="80" w:before="80" w:line="280"/>
        <w:jc w:val="both"/>
      </w:pPr>
      <w:r>
        <w:rPr>
          <w:rFonts w:ascii="Georgia" w:cs="Georgia" w:eastAsia="Georgia" w:hAnsi="Georgia"/>
          <w:sz w:val="22"/>
          <w:szCs w:val="22"/>
        </w:rPr>
        <w:t xml:space="preserve">The technology to harden electrical grid infrastructure against geomagnetically induced currents exists now. Faraday shielding for critical transformer infrastructure, emergency stockpiling of replacement transformers, and satellite-based early warning systems capable of providing 15–72 hours of advance notice for CME events are all technically achievable at a cost estimated between $10 billion and $50 billion globally — less than two weeks of global military expenditure. This is the highest-ratio intervention in this Codex: lowest cost, highest return, most tractable.</w:t>
      </w:r>
    </w:p>
    <w:p>
      <w:pPr>
        <w:spacing w:after="120" w:before="0"/>
      </w:pPr>
    </w:p>
    <w:p>
      <w:pPr>
        <w:pStyle w:val="Heading2"/>
        <w:spacing w:after="100" w:before="240"/>
      </w:pPr>
      <w:r>
        <w:rPr>
          <w:rFonts w:ascii="Georgia" w:cs="Georgia" w:eastAsia="Georgia" w:hAnsi="Georgia"/>
          <w:b/>
          <w:bCs/>
          <w:color w:val="2E5F8A"/>
          <w:sz w:val="26"/>
          <w:szCs w:val="26"/>
        </w:rPr>
        <w:t xml:space="preserve">Intervention Node 2: Pathogen Biosecurity (A1, A3)</w:t>
      </w:r>
    </w:p>
    <w:p>
      <w:pPr>
        <w:spacing w:after="80" w:before="80" w:line="280"/>
        <w:jc w:val="both"/>
      </w:pPr>
      <w:r>
        <w:rPr>
          <w:rFonts w:ascii="Georgia" w:cs="Georgia" w:eastAsia="Georgia" w:hAnsi="Georgia"/>
          <w:sz w:val="22"/>
          <w:szCs w:val="22"/>
        </w:rPr>
        <w:t xml:space="preserve">The Biological Weapons Convention of 1972 prohibits the development of biological weapons but lacks verification mechanisms. A verification protocol with inspection authority comparable to the IAEA's nuclear mandate is technically feasible and has been under discussion for decades without implementation. Simultaneously, global pandemic early warning infrastructure — distributed environmental surveillance capable of detecting novel pathogen emergence before human cases are confirmed — exists in prototype and requires funding at a fraction of the scale deployed for nuclear nonproliferation.</w:t>
      </w:r>
    </w:p>
    <w:p>
      <w:pPr>
        <w:spacing w:after="120" w:before="0"/>
      </w:pPr>
    </w:p>
    <w:p>
      <w:pPr>
        <w:pStyle w:val="Heading2"/>
        <w:spacing w:after="100" w:before="240"/>
      </w:pPr>
      <w:r>
        <w:rPr>
          <w:rFonts w:ascii="Georgia" w:cs="Georgia" w:eastAsia="Georgia" w:hAnsi="Georgia"/>
          <w:b/>
          <w:bCs/>
          <w:color w:val="2E5F8A"/>
          <w:sz w:val="26"/>
          <w:szCs w:val="26"/>
        </w:rPr>
        <w:t xml:space="preserve">Intervention Node 3: Soil and Seed System Restoration (A2)</w:t>
      </w:r>
    </w:p>
    <w:p>
      <w:pPr>
        <w:spacing w:after="80" w:before="80" w:line="280"/>
        <w:jc w:val="both"/>
      </w:pPr>
      <w:r>
        <w:rPr>
          <w:rFonts w:ascii="Georgia" w:cs="Georgia" w:eastAsia="Georgia" w:hAnsi="Georgia"/>
          <w:sz w:val="22"/>
          <w:szCs w:val="22"/>
        </w:rPr>
        <w:t xml:space="preserve">The restoration of soil mineral complexity through regenerative agriculture practices — cover cropping, mycorrhizal inoculation, reduced tillage, and mineral amendment programs — is technically understood and economically viable at scale. The Svalbard Global Seed Vault holds 1.3 million seed varieties but requires active expansion, funding, and — critically — trained human communities capable of cultivating those varieties under stress conditions. Seed preservation without cultivation knowledge is an archive, not a survival system.</w:t>
      </w:r>
    </w:p>
    <w:p>
      <w:pPr>
        <w:spacing w:after="120" w:before="0"/>
      </w:pPr>
    </w:p>
    <w:p>
      <w:pPr>
        <w:pStyle w:val="Heading2"/>
        <w:spacing w:after="100" w:before="240"/>
      </w:pPr>
      <w:r>
        <w:rPr>
          <w:rFonts w:ascii="Georgia" w:cs="Georgia" w:eastAsia="Georgia" w:hAnsi="Georgia"/>
          <w:b/>
          <w:bCs/>
          <w:color w:val="2E5F8A"/>
          <w:sz w:val="26"/>
          <w:szCs w:val="26"/>
        </w:rPr>
        <w:t xml:space="preserve">Intervention Node 4: Atmospheric Carbon Drawdown (D5, C6)</w:t>
      </w:r>
    </w:p>
    <w:p>
      <w:pPr>
        <w:spacing w:after="80" w:before="80" w:line="280"/>
        <w:jc w:val="both"/>
      </w:pPr>
      <w:r>
        <w:rPr>
          <w:rFonts w:ascii="Georgia" w:cs="Georgia" w:eastAsia="Georgia" w:hAnsi="Georgia"/>
          <w:sz w:val="22"/>
          <w:szCs w:val="22"/>
        </w:rPr>
        <w:t xml:space="preserve">The State of Carbon Dioxide Removal (2024) identifies a gap between current CDR deployment and the levels required to stabilize warming below 2°C.</w:t>
      </w:r>
      <w:r>
        <w:rPr>
          <w:rFonts w:ascii="Georgia" w:cs="Georgia" w:eastAsia="Georgia" w:hAnsi="Georgia"/>
          <w:sz w:val="16"/>
          <w:szCs w:val="16"/>
          <w:vertAlign w:val="superscript"/>
        </w:rPr>
        <w:t xml:space="preserve">[37]</w:t>
      </w:r>
      <w:r>
        <w:rPr>
          <w:rFonts w:ascii="Georgia" w:cs="Georgia" w:eastAsia="Georgia" w:hAnsi="Georgia"/>
          <w:sz w:val="22"/>
          <w:szCs w:val="22"/>
        </w:rPr>
        <w:t xml:space="preserve"> Direct air capture, enhanced rock weathering, and reforestation programs are all technically operational. The barrier is not technology — it is deployment scale and economic incentive structure. The cost of meaningful CDR deployment is measurably lower than the economic damage produced by the tipping cascades it prevents.</w:t>
      </w:r>
    </w:p>
    <w:p>
      <w:pPr>
        <w:spacing w:after="120" w:before="0"/>
      </w:pPr>
    </w:p>
    <w:p>
      <w:pPr>
        <w:pStyle w:val="Heading2"/>
        <w:spacing w:after="100" w:before="240"/>
      </w:pPr>
      <w:r>
        <w:rPr>
          <w:rFonts w:ascii="Georgia" w:cs="Georgia" w:eastAsia="Georgia" w:hAnsi="Georgia"/>
          <w:b/>
          <w:bCs/>
          <w:color w:val="2E5F8A"/>
          <w:sz w:val="26"/>
          <w:szCs w:val="26"/>
        </w:rPr>
        <w:t xml:space="preserve">Intervention Node 5: AI Alignment Investment (D3)</w:t>
      </w:r>
    </w:p>
    <w:p>
      <w:pPr>
        <w:spacing w:after="80" w:before="80" w:line="280"/>
        <w:jc w:val="both"/>
      </w:pPr>
      <w:r>
        <w:rPr>
          <w:rFonts w:ascii="Georgia" w:cs="Georgia" w:eastAsia="Georgia" w:hAnsi="Georgia"/>
          <w:sz w:val="22"/>
          <w:szCs w:val="22"/>
        </w:rPr>
        <w:t xml:space="preserve">The ratio of investment in AI capability development to AI alignment research is currently estimated at approximately 100:1. This is the most asymmetric risk ratio in this Codex. The intervention is not to stop AI development — it is to fund alignment research at a scale proportionate to the capability investment being made. This is a tractable policy choice available to any government or major foundation with existing science funding infrastructure.</w:t>
      </w:r>
    </w:p>
    <w:p>
      <w:pPr>
        <w:spacing w:after="120" w:before="0"/>
      </w:pPr>
    </w:p>
    <w:p>
      <w:pPr>
        <w:pStyle w:val="Heading2"/>
        <w:spacing w:after="100" w:before="240"/>
      </w:pPr>
      <w:r>
        <w:rPr>
          <w:rFonts w:ascii="Georgia" w:cs="Georgia" w:eastAsia="Georgia" w:hAnsi="Georgia"/>
          <w:b/>
          <w:bCs/>
          <w:color w:val="2E5F8A"/>
          <w:sz w:val="26"/>
          <w:szCs w:val="26"/>
        </w:rPr>
        <w:t xml:space="preserve">Intervention Node 6: Distributed Knowledge Preservation</w:t>
      </w:r>
    </w:p>
    <w:p>
      <w:pPr>
        <w:spacing w:after="80" w:before="80" w:line="280"/>
        <w:jc w:val="both"/>
      </w:pPr>
      <w:r>
        <w:rPr>
          <w:rFonts w:ascii="Georgia" w:cs="Georgia" w:eastAsia="Georgia" w:hAnsi="Georgia"/>
          <w:sz w:val="22"/>
          <w:szCs w:val="22"/>
        </w:rPr>
        <w:t xml:space="preserve">The Library of Alexandria problem is not solved by digital archives. Digital storage requires power infrastructure, hardware replacement cycles, and software compatibility maintenance — all dependencies that collapse in the scenarios described here. The intervention is human-embodied knowledge: trained communities with maintained practical skills in agriculture, medicine, engineering, and ecological management, distributed across geographically diverse locations, with active intergenerational transmission programs. This is what survives catastrophe. This is what rebuilds.</w:t>
      </w:r>
    </w:p>
    <w:p>
      <w:pPr>
        <w:spacing w:after="120" w:before="0"/>
      </w:pPr>
    </w:p>
    <w:p>
      <w:pPr>
        <w:pStyle w:val="Heading1"/>
        <w:pBdr>
          <w:bottom w:val="single" w:color="2E5F8A" w:sz="6" w:space="2"/>
        </w:pBdr>
        <w:spacing w:after="160" w:before="360"/>
      </w:pPr>
      <w:r>
        <w:rPr>
          <w:rFonts w:ascii="Georgia" w:cs="Georgia" w:eastAsia="Georgia" w:hAnsi="Georgia"/>
          <w:b/>
          <w:bCs/>
          <w:color w:val="0D1F3C"/>
          <w:sz w:val="32"/>
          <w:szCs w:val="32"/>
        </w:rPr>
        <w:t xml:space="preserve">The Central Finding</w:t>
      </w:r>
    </w:p>
    <w:p>
      <w:pPr>
        <w:spacing w:after="80" w:before="80" w:line="280"/>
        <w:jc w:val="both"/>
      </w:pPr>
      <w:r>
        <w:rPr>
          <w:rFonts w:ascii="Georgia" w:cs="Georgia" w:eastAsia="Georgia" w:hAnsi="Georgia"/>
          <w:sz w:val="22"/>
          <w:szCs w:val="22"/>
        </w:rPr>
        <w:t xml:space="preserve">The window for meaningful intervention is always shorter than the window for comfortable denial. Every scenario in this Codex has a decision horizon — a point before which intervention can alter the outcome, and after which it cannot. For B1 (CME), that window is open now and requires political will, not new technology. For A1 (engineered pandemic), that window is narrowing as gain-of-function research capabilities proliferate. For D5 (climate cascade) and C6 (methane clathrate), multiple tipping elements are already at or near their thresholds.</w:t>
      </w:r>
    </w:p>
    <w:p>
      <w:pPr>
        <w:spacing w:after="80" w:before="0"/>
      </w:pPr>
    </w:p>
    <w:p>
      <w:pPr>
        <w:spacing w:after="80" w:before="80" w:line="280"/>
        <w:jc w:val="both"/>
      </w:pPr>
      <w:r>
        <w:rPr>
          <w:rFonts w:ascii="Georgia" w:cs="Georgia" w:eastAsia="Georgia" w:hAnsi="Georgia"/>
          <w:sz w:val="22"/>
          <w:szCs w:val="22"/>
        </w:rPr>
        <w:t xml:space="preserve">This document was not written to produce despair. It was written to produce an accurate map. Maps do not cause the terrain they describe. They enable navigation.</w:t>
      </w:r>
    </w:p>
    <w:p>
      <w:pPr>
        <w:spacing w:after="80" w:before="0"/>
      </w:pPr>
    </w:p>
    <w:p>
      <w:pPr>
        <w:spacing w:after="80" w:before="80" w:line="280"/>
        <w:jc w:val="both"/>
      </w:pPr>
      <w:r>
        <w:rPr>
          <w:rFonts w:ascii="Georgia" w:cs="Georgia" w:eastAsia="Georgia" w:hAnsi="Georgia"/>
          <w:i/>
          <w:iCs/>
          <w:sz w:val="22"/>
          <w:szCs w:val="22"/>
        </w:rPr>
        <w:t xml:space="preserve">The question this Codex puts to every person with the capacity to act is not whether these scenarios are real. The question is whether the window is still open — and whether the people reading this will use it.</w:t>
      </w:r>
    </w:p>
    <w:p>
      <w:r>
        <w:br w:type="page"/>
      </w:r>
    </w:p>
    <w:p>
      <w:pPr>
        <w:pStyle w:val="Heading1"/>
        <w:pBdr>
          <w:bottom w:val="single" w:color="2E5F8A" w:sz="6" w:space="2"/>
        </w:pBdr>
        <w:spacing w:after="160" w:before="360"/>
      </w:pPr>
      <w:r>
        <w:rPr>
          <w:rFonts w:ascii="Georgia" w:cs="Georgia" w:eastAsia="Georgia" w:hAnsi="Georgia"/>
          <w:b/>
          <w:bCs/>
          <w:color w:val="0D1F3C"/>
          <w:sz w:val="32"/>
          <w:szCs w:val="32"/>
        </w:rPr>
        <w:t xml:space="preserve">References</w:t>
      </w:r>
    </w:p>
    <w:p>
      <w:pPr>
        <w:spacing w:after="60" w:before="60" w:line="240"/>
        <w:ind w:left="800" w:hanging="800"/>
      </w:pPr>
      <w:r>
        <w:rPr>
          <w:rFonts w:ascii="Georgia" w:cs="Georgia" w:eastAsia="Georgia" w:hAnsi="Georgia"/>
          <w:b/>
          <w:bCs/>
          <w:color w:val="2E5F8A"/>
          <w:sz w:val="18"/>
          <w:szCs w:val="18"/>
        </w:rPr>
        <w:t xml:space="preserve">[1]  </w:t>
      </w:r>
      <w:r>
        <w:rPr>
          <w:rFonts w:ascii="Georgia" w:cs="Georgia" w:eastAsia="Georgia" w:hAnsi="Georgia"/>
          <w:sz w:val="18"/>
          <w:szCs w:val="18"/>
        </w:rPr>
        <w:t xml:space="preserve">Davis, D.R. et al. (2004). Changes in USDA Food Composition Data for 43 Garden Crops, 1950 to 1999. Journal of the American College of Nutrition 23(6), 669–682.</w:t>
      </w:r>
    </w:p>
    <w:p>
      <w:pPr>
        <w:spacing w:after="60" w:before="60" w:line="240"/>
        <w:ind w:left="800" w:hanging="800"/>
      </w:pPr>
      <w:r>
        <w:rPr>
          <w:rFonts w:ascii="Georgia" w:cs="Georgia" w:eastAsia="Georgia" w:hAnsi="Georgia"/>
          <w:b/>
          <w:bCs/>
          <w:color w:val="2E5F8A"/>
          <w:sz w:val="18"/>
          <w:szCs w:val="18"/>
        </w:rPr>
        <w:t xml:space="preserve">[2]  </w:t>
      </w:r>
      <w:r>
        <w:rPr>
          <w:rFonts w:ascii="Georgia" w:cs="Georgia" w:eastAsia="Georgia" w:hAnsi="Georgia"/>
          <w:sz w:val="18"/>
          <w:szCs w:val="18"/>
        </w:rPr>
        <w:t xml:space="preserve">Sender, R., Fuchs, S. &amp; Milo, R. (2016). Revised Estimates for the Number of Human and Bacteria Cells in the Body. Cell 164(3), 337–340.</w:t>
      </w:r>
    </w:p>
    <w:p>
      <w:pPr>
        <w:spacing w:after="60" w:before="60" w:line="240"/>
        <w:ind w:left="800" w:hanging="800"/>
      </w:pPr>
      <w:r>
        <w:rPr>
          <w:rFonts w:ascii="Georgia" w:cs="Georgia" w:eastAsia="Georgia" w:hAnsi="Georgia"/>
          <w:b/>
          <w:bCs/>
          <w:color w:val="2E5F8A"/>
          <w:sz w:val="18"/>
          <w:szCs w:val="18"/>
        </w:rPr>
        <w:t xml:space="preserve">[3]  </w:t>
      </w:r>
      <w:r>
        <w:rPr>
          <w:rFonts w:ascii="Georgia" w:cs="Georgia" w:eastAsia="Georgia" w:hAnsi="Georgia"/>
          <w:sz w:val="18"/>
          <w:szCs w:val="18"/>
        </w:rPr>
        <w:t xml:space="preserve">Samsel, A. &amp; Seneff, S. (2013). Glyphosate, pathways to modern diseases II: Celiac sprue and gluten intolerance. Interdisciplinary Toxicology 6(4), 159–184.</w:t>
      </w:r>
    </w:p>
    <w:p>
      <w:pPr>
        <w:spacing w:after="60" w:before="60" w:line="240"/>
        <w:ind w:left="800" w:hanging="800"/>
      </w:pPr>
      <w:r>
        <w:rPr>
          <w:rFonts w:ascii="Georgia" w:cs="Georgia" w:eastAsia="Georgia" w:hAnsi="Georgia"/>
          <w:b/>
          <w:bCs/>
          <w:color w:val="2E5F8A"/>
          <w:sz w:val="18"/>
          <w:szCs w:val="18"/>
        </w:rPr>
        <w:t xml:space="preserve">[4]  </w:t>
      </w:r>
      <w:r>
        <w:rPr>
          <w:rFonts w:ascii="Georgia" w:cs="Georgia" w:eastAsia="Georgia" w:hAnsi="Georgia"/>
          <w:sz w:val="18"/>
          <w:szCs w:val="18"/>
        </w:rPr>
        <w:t xml:space="preserve">Van Boeckel, T.P. et al. (2014). Global antibiotic consumption 2000 to 2010: an analysis of national pharmaceutical sales data. The Lancet Infectious Diseases 14(8), 742–750.</w:t>
      </w:r>
    </w:p>
    <w:p>
      <w:pPr>
        <w:spacing w:after="60" w:before="60" w:line="240"/>
        <w:ind w:left="800" w:hanging="800"/>
      </w:pPr>
      <w:r>
        <w:rPr>
          <w:rFonts w:ascii="Georgia" w:cs="Georgia" w:eastAsia="Georgia" w:hAnsi="Georgia"/>
          <w:b/>
          <w:bCs/>
          <w:color w:val="2E5F8A"/>
          <w:sz w:val="18"/>
          <w:szCs w:val="18"/>
        </w:rPr>
        <w:t xml:space="preserve">[5]  </w:t>
      </w:r>
      <w:r>
        <w:rPr>
          <w:rFonts w:ascii="Georgia" w:cs="Georgia" w:eastAsia="Georgia" w:hAnsi="Georgia"/>
          <w:sz w:val="18"/>
          <w:szCs w:val="18"/>
        </w:rPr>
        <w:t xml:space="preserve">Hu, J.M.X. et al. (2016). Detection of Poly- and Perfluoroalkyl Substances (PFASs) in US Drinking Water: Selected Case Studies. Environmental Health Perspectives 124(12), 1862–1869.</w:t>
      </w:r>
    </w:p>
    <w:p>
      <w:pPr>
        <w:spacing w:after="60" w:before="60" w:line="240"/>
        <w:ind w:left="800" w:hanging="800"/>
      </w:pPr>
      <w:r>
        <w:rPr>
          <w:rFonts w:ascii="Georgia" w:cs="Georgia" w:eastAsia="Georgia" w:hAnsi="Georgia"/>
          <w:b/>
          <w:bCs/>
          <w:color w:val="2E5F8A"/>
          <w:sz w:val="18"/>
          <w:szCs w:val="18"/>
        </w:rPr>
        <w:t xml:space="preserve">[6]  </w:t>
      </w:r>
      <w:r>
        <w:rPr>
          <w:rFonts w:ascii="Georgia" w:cs="Georgia" w:eastAsia="Georgia" w:hAnsi="Georgia"/>
          <w:sz w:val="18"/>
          <w:szCs w:val="18"/>
        </w:rPr>
        <w:t xml:space="preserve">Cousins, I.T. et al. (2022). Outside the Safe Operating Space of a New Planetary Boundary for Per- and Polyfluoroalkyl Substances. Environmental Science &amp; Technology 56(16), 11172–11179.</w:t>
      </w:r>
    </w:p>
    <w:p>
      <w:pPr>
        <w:spacing w:after="60" w:before="60" w:line="240"/>
        <w:ind w:left="800" w:hanging="800"/>
      </w:pPr>
      <w:r>
        <w:rPr>
          <w:rFonts w:ascii="Georgia" w:cs="Georgia" w:eastAsia="Georgia" w:hAnsi="Georgia"/>
          <w:b/>
          <w:bCs/>
          <w:color w:val="2E5F8A"/>
          <w:sz w:val="18"/>
          <w:szCs w:val="18"/>
        </w:rPr>
        <w:t xml:space="preserve">[7]  </w:t>
      </w:r>
      <w:r>
        <w:rPr>
          <w:rFonts w:ascii="Georgia" w:cs="Georgia" w:eastAsia="Georgia" w:hAnsi="Georgia"/>
          <w:sz w:val="18"/>
          <w:szCs w:val="18"/>
        </w:rPr>
        <w:t xml:space="preserve">Ragusa, A. et al. (2021). Plasticenta: First Evidence of Microplastics in Human Placenta. Environment International 146, 106274.</w:t>
      </w:r>
    </w:p>
    <w:p>
      <w:pPr>
        <w:spacing w:after="60" w:before="60" w:line="240"/>
        <w:ind w:left="800" w:hanging="800"/>
      </w:pPr>
      <w:r>
        <w:rPr>
          <w:rFonts w:ascii="Georgia" w:cs="Georgia" w:eastAsia="Georgia" w:hAnsi="Georgia"/>
          <w:b/>
          <w:bCs/>
          <w:color w:val="2E5F8A"/>
          <w:sz w:val="18"/>
          <w:szCs w:val="18"/>
        </w:rPr>
        <w:t xml:space="preserve">[8]  </w:t>
      </w:r>
      <w:r>
        <w:rPr>
          <w:rFonts w:ascii="Georgia" w:cs="Georgia" w:eastAsia="Georgia" w:hAnsi="Georgia"/>
          <w:sz w:val="18"/>
          <w:szCs w:val="18"/>
        </w:rPr>
        <w:t xml:space="preserve">WHO (2021). Global Air Quality Guidelines: Particulate Matter (PM2.5 and PM10), Ozone, Nitrogen Dioxide, Sulfur Dioxide and Carbon Monoxide. World Health Organization, Geneva.</w:t>
      </w:r>
    </w:p>
    <w:p>
      <w:pPr>
        <w:spacing w:after="60" w:before="60" w:line="240"/>
        <w:ind w:left="800" w:hanging="800"/>
      </w:pPr>
      <w:r>
        <w:rPr>
          <w:rFonts w:ascii="Georgia" w:cs="Georgia" w:eastAsia="Georgia" w:hAnsi="Georgia"/>
          <w:b/>
          <w:bCs/>
          <w:color w:val="2E5F8A"/>
          <w:sz w:val="18"/>
          <w:szCs w:val="18"/>
        </w:rPr>
        <w:t xml:space="preserve">[9]  </w:t>
      </w:r>
      <w:r>
        <w:rPr>
          <w:rFonts w:ascii="Georgia" w:cs="Georgia" w:eastAsia="Georgia" w:hAnsi="Georgia"/>
          <w:sz w:val="18"/>
          <w:szCs w:val="18"/>
        </w:rPr>
        <w:t xml:space="preserve">FAO (2010). Second Report on the State of the World's Plant Genetic Resources for Food and Agriculture. Food and Agriculture Organization of the United Nations, Rome.</w:t>
      </w:r>
    </w:p>
    <w:p>
      <w:pPr>
        <w:spacing w:after="60" w:before="60" w:line="240"/>
        <w:ind w:left="800" w:hanging="800"/>
      </w:pPr>
      <w:r>
        <w:rPr>
          <w:rFonts w:ascii="Georgia" w:cs="Georgia" w:eastAsia="Georgia" w:hAnsi="Georgia"/>
          <w:b/>
          <w:bCs/>
          <w:color w:val="2E5F8A"/>
          <w:sz w:val="18"/>
          <w:szCs w:val="18"/>
        </w:rPr>
        <w:t xml:space="preserve">[10]  </w:t>
      </w:r>
      <w:r>
        <w:rPr>
          <w:rFonts w:ascii="Georgia" w:cs="Georgia" w:eastAsia="Georgia" w:hAnsi="Georgia"/>
          <w:sz w:val="18"/>
          <w:szCs w:val="18"/>
        </w:rPr>
        <w:t xml:space="preserve">Lipsitch, M. &amp; Galvani, A.P. (2014). Ethical Alternatives to Experiments with Novel Potential Pandemic Pathogens. PLOS Medicine 11(5), e1001646.</w:t>
      </w:r>
    </w:p>
    <w:p>
      <w:pPr>
        <w:spacing w:after="60" w:before="60" w:line="240"/>
        <w:ind w:left="800" w:hanging="800"/>
      </w:pPr>
      <w:r>
        <w:rPr>
          <w:rFonts w:ascii="Georgia" w:cs="Georgia" w:eastAsia="Georgia" w:hAnsi="Georgia"/>
          <w:b/>
          <w:bCs/>
          <w:color w:val="2E5F8A"/>
          <w:sz w:val="18"/>
          <w:szCs w:val="18"/>
        </w:rPr>
        <w:t xml:space="preserve">[11]  </w:t>
      </w:r>
      <w:r>
        <w:rPr>
          <w:rFonts w:ascii="Georgia" w:cs="Georgia" w:eastAsia="Georgia" w:hAnsi="Georgia"/>
          <w:sz w:val="18"/>
          <w:szCs w:val="18"/>
        </w:rPr>
        <w:t xml:space="preserve">WHO (2024). Influenza at the Human-Animal Interface: Summary and Assessment. World Health Organization.</w:t>
      </w:r>
    </w:p>
    <w:p>
      <w:pPr>
        <w:spacing w:after="60" w:before="60" w:line="240"/>
        <w:ind w:left="800" w:hanging="800"/>
      </w:pPr>
      <w:r>
        <w:rPr>
          <w:rFonts w:ascii="Georgia" w:cs="Georgia" w:eastAsia="Georgia" w:hAnsi="Georgia"/>
          <w:b/>
          <w:bCs/>
          <w:color w:val="2E5F8A"/>
          <w:sz w:val="18"/>
          <w:szCs w:val="18"/>
        </w:rPr>
        <w:t xml:space="preserve">[12]  </w:t>
      </w:r>
      <w:r>
        <w:rPr>
          <w:rFonts w:ascii="Georgia" w:cs="Georgia" w:eastAsia="Georgia" w:hAnsi="Georgia"/>
          <w:sz w:val="18"/>
          <w:szCs w:val="18"/>
        </w:rPr>
        <w:t xml:space="preserve">Jones, K.E. et al. (2008). Global trends in emerging infectious diseases. Nature 451, 990–993.</w:t>
      </w:r>
    </w:p>
    <w:p>
      <w:pPr>
        <w:spacing w:after="60" w:before="60" w:line="240"/>
        <w:ind w:left="800" w:hanging="800"/>
      </w:pPr>
      <w:r>
        <w:rPr>
          <w:rFonts w:ascii="Georgia" w:cs="Georgia" w:eastAsia="Georgia" w:hAnsi="Georgia"/>
          <w:b/>
          <w:bCs/>
          <w:color w:val="2E5F8A"/>
          <w:sz w:val="18"/>
          <w:szCs w:val="18"/>
        </w:rPr>
        <w:t xml:space="preserve">[13]  </w:t>
      </w:r>
      <w:r>
        <w:rPr>
          <w:rFonts w:ascii="Georgia" w:cs="Georgia" w:eastAsia="Georgia" w:hAnsi="Georgia"/>
          <w:sz w:val="18"/>
          <w:szCs w:val="18"/>
        </w:rPr>
        <w:t xml:space="preserve">WHO (2019). Antibacterial Agents in Clinical and Preclinical Development: An Overview and Analysis. World Health Organization, Geneva.</w:t>
      </w:r>
    </w:p>
    <w:p>
      <w:pPr>
        <w:spacing w:after="60" w:before="60" w:line="240"/>
        <w:ind w:left="800" w:hanging="800"/>
      </w:pPr>
      <w:r>
        <w:rPr>
          <w:rFonts w:ascii="Georgia" w:cs="Georgia" w:eastAsia="Georgia" w:hAnsi="Georgia"/>
          <w:b/>
          <w:bCs/>
          <w:color w:val="2E5F8A"/>
          <w:sz w:val="18"/>
          <w:szCs w:val="18"/>
        </w:rPr>
        <w:t xml:space="preserve">[14]  </w:t>
      </w:r>
      <w:r>
        <w:rPr>
          <w:rFonts w:ascii="Georgia" w:cs="Georgia" w:eastAsia="Georgia" w:hAnsi="Georgia"/>
          <w:sz w:val="18"/>
          <w:szCs w:val="18"/>
        </w:rPr>
        <w:t xml:space="preserve">O'Neill, J. (2016). Tackling Drug-Resistant Infections Globally: Final Report and Recommendations. Review on Antimicrobial Resistance, London.</w:t>
      </w:r>
    </w:p>
    <w:p>
      <w:pPr>
        <w:spacing w:after="60" w:before="60" w:line="240"/>
        <w:ind w:left="800" w:hanging="800"/>
      </w:pPr>
      <w:r>
        <w:rPr>
          <w:rFonts w:ascii="Georgia" w:cs="Georgia" w:eastAsia="Georgia" w:hAnsi="Georgia"/>
          <w:b/>
          <w:bCs/>
          <w:color w:val="2E5F8A"/>
          <w:sz w:val="18"/>
          <w:szCs w:val="18"/>
        </w:rPr>
        <w:t xml:space="preserve">[15]  </w:t>
      </w:r>
      <w:r>
        <w:rPr>
          <w:rFonts w:ascii="Georgia" w:cs="Georgia" w:eastAsia="Georgia" w:hAnsi="Georgia"/>
          <w:sz w:val="18"/>
          <w:szCs w:val="18"/>
        </w:rPr>
        <w:t xml:space="preserve">Kappenman, J.G. (2010). Geomagnetic Storms and Their Impacts on the U.S. Power Grid. Metatech Corporation / Oak Ridge National Laboratory.</w:t>
      </w:r>
    </w:p>
    <w:p>
      <w:pPr>
        <w:spacing w:after="60" w:before="60" w:line="240"/>
        <w:ind w:left="800" w:hanging="800"/>
      </w:pPr>
      <w:r>
        <w:rPr>
          <w:rFonts w:ascii="Georgia" w:cs="Georgia" w:eastAsia="Georgia" w:hAnsi="Georgia"/>
          <w:b/>
          <w:bCs/>
          <w:color w:val="2E5F8A"/>
          <w:sz w:val="18"/>
          <w:szCs w:val="18"/>
        </w:rPr>
        <w:t xml:space="preserve">[16]  </w:t>
      </w:r>
      <w:r>
        <w:rPr>
          <w:rFonts w:ascii="Georgia" w:cs="Georgia" w:eastAsia="Georgia" w:hAnsi="Georgia"/>
          <w:sz w:val="18"/>
          <w:szCs w:val="18"/>
        </w:rPr>
        <w:t xml:space="preserve">Lloyd's of London (2013). Solar Storm Risk to the North American Electric Grid. Lloyd's Emerging Risk Report.</w:t>
      </w:r>
    </w:p>
    <w:p>
      <w:pPr>
        <w:spacing w:after="60" w:before="60" w:line="240"/>
        <w:ind w:left="800" w:hanging="800"/>
      </w:pPr>
      <w:r>
        <w:rPr>
          <w:rFonts w:ascii="Georgia" w:cs="Georgia" w:eastAsia="Georgia" w:hAnsi="Georgia"/>
          <w:b/>
          <w:bCs/>
          <w:color w:val="2E5F8A"/>
          <w:sz w:val="18"/>
          <w:szCs w:val="18"/>
        </w:rPr>
        <w:t xml:space="preserve">[17]  </w:t>
      </w:r>
      <w:r>
        <w:rPr>
          <w:rFonts w:ascii="Georgia" w:cs="Georgia" w:eastAsia="Georgia" w:hAnsi="Georgia"/>
          <w:sz w:val="18"/>
          <w:szCs w:val="18"/>
        </w:rPr>
        <w:t xml:space="preserve">Schulte, P. et al. (2010). The Chicxulub Asteroid Impact and Mass Extinction at the Cretaceous-Paleogene Boundary. Science 327(5970), 1214–1218.</w:t>
      </w:r>
    </w:p>
    <w:p>
      <w:pPr>
        <w:spacing w:after="60" w:before="60" w:line="240"/>
        <w:ind w:left="800" w:hanging="800"/>
      </w:pPr>
      <w:r>
        <w:rPr>
          <w:rFonts w:ascii="Georgia" w:cs="Georgia" w:eastAsia="Georgia" w:hAnsi="Georgia"/>
          <w:b/>
          <w:bCs/>
          <w:color w:val="2E5F8A"/>
          <w:sz w:val="18"/>
          <w:szCs w:val="18"/>
        </w:rPr>
        <w:t xml:space="preserve">[18]  </w:t>
      </w:r>
      <w:r>
        <w:rPr>
          <w:rFonts w:ascii="Georgia" w:cs="Georgia" w:eastAsia="Georgia" w:hAnsi="Georgia"/>
          <w:sz w:val="18"/>
          <w:szCs w:val="18"/>
        </w:rPr>
        <w:t xml:space="preserve">Thomas, B.C. et al. (2005). Gamma-Ray Bursts and the Earth: Exploration of Atmospheric, Biological, Climatological, and Biogeochemical Effects. Astrophysical Journal 634(1), 509–533.</w:t>
      </w:r>
    </w:p>
    <w:p>
      <w:pPr>
        <w:spacing w:after="60" w:before="60" w:line="240"/>
        <w:ind w:left="800" w:hanging="800"/>
      </w:pPr>
      <w:r>
        <w:rPr>
          <w:rFonts w:ascii="Georgia" w:cs="Georgia" w:eastAsia="Georgia" w:hAnsi="Georgia"/>
          <w:b/>
          <w:bCs/>
          <w:color w:val="2E5F8A"/>
          <w:sz w:val="18"/>
          <w:szCs w:val="18"/>
        </w:rPr>
        <w:t xml:space="preserve">[19]  </w:t>
      </w:r>
      <w:r>
        <w:rPr>
          <w:rFonts w:ascii="Georgia" w:cs="Georgia" w:eastAsia="Georgia" w:hAnsi="Georgia"/>
          <w:sz w:val="18"/>
          <w:szCs w:val="18"/>
        </w:rPr>
        <w:t xml:space="preserve">Melott, A.L. et al. (2004). Did a Gamma-Ray Burst Initiate the Late Ordovician Mass Extinction? International Journal of Astrobiology 3(1), 55–61.</w:t>
      </w:r>
    </w:p>
    <w:p>
      <w:pPr>
        <w:spacing w:after="60" w:before="60" w:line="240"/>
        <w:ind w:left="800" w:hanging="800"/>
      </w:pPr>
      <w:r>
        <w:rPr>
          <w:rFonts w:ascii="Georgia" w:cs="Georgia" w:eastAsia="Georgia" w:hAnsi="Georgia"/>
          <w:b/>
          <w:bCs/>
          <w:color w:val="2E5F8A"/>
          <w:sz w:val="18"/>
          <w:szCs w:val="18"/>
        </w:rPr>
        <w:t xml:space="preserve">[20]  </w:t>
      </w:r>
      <w:r>
        <w:rPr>
          <w:rFonts w:ascii="Georgia" w:cs="Georgia" w:eastAsia="Georgia" w:hAnsi="Georgia"/>
          <w:sz w:val="18"/>
          <w:szCs w:val="18"/>
        </w:rPr>
        <w:t xml:space="preserve">Neuhäuser, R. &amp; Feitzinger, J.V. (1986). Is Betelgeuse a Threat to Earth? Astronomy &amp; Astrophysics 170, L5–L8.</w:t>
      </w:r>
    </w:p>
    <w:p>
      <w:pPr>
        <w:spacing w:after="60" w:before="60" w:line="240"/>
        <w:ind w:left="800" w:hanging="800"/>
      </w:pPr>
      <w:r>
        <w:rPr>
          <w:rFonts w:ascii="Georgia" w:cs="Georgia" w:eastAsia="Georgia" w:hAnsi="Georgia"/>
          <w:b/>
          <w:bCs/>
          <w:color w:val="2E5F8A"/>
          <w:sz w:val="18"/>
          <w:szCs w:val="18"/>
        </w:rPr>
        <w:t xml:space="preserve">[21]  </w:t>
      </w:r>
      <w:r>
        <w:rPr>
          <w:rFonts w:ascii="Georgia" w:cs="Georgia" w:eastAsia="Georgia" w:hAnsi="Georgia"/>
          <w:sz w:val="18"/>
          <w:szCs w:val="18"/>
        </w:rPr>
        <w:t xml:space="preserve">Ambrose, S.H. (1998). Late Pleistocene Human Population Bottlenecks, Volcanic Winter, and Differentiation of Modern Humans. Journal of Human Evolution 34(6), 623–651.</w:t>
      </w:r>
    </w:p>
    <w:p>
      <w:pPr>
        <w:spacing w:after="60" w:before="60" w:line="240"/>
        <w:ind w:left="800" w:hanging="800"/>
      </w:pPr>
      <w:r>
        <w:rPr>
          <w:rFonts w:ascii="Georgia" w:cs="Georgia" w:eastAsia="Georgia" w:hAnsi="Georgia"/>
          <w:b/>
          <w:bCs/>
          <w:color w:val="2E5F8A"/>
          <w:sz w:val="18"/>
          <w:szCs w:val="18"/>
        </w:rPr>
        <w:t xml:space="preserve">[22]  </w:t>
      </w:r>
      <w:r>
        <w:rPr>
          <w:rFonts w:ascii="Georgia" w:cs="Georgia" w:eastAsia="Georgia" w:hAnsi="Georgia"/>
          <w:sz w:val="18"/>
          <w:szCs w:val="18"/>
        </w:rPr>
        <w:t xml:space="preserve">Bamber, J.L. et al. (2019). Ice Sheet Contributions to Future Sea-Level Rise from Structured Expert Judgment. PNAS 116(23), 11195–11200.</w:t>
      </w:r>
    </w:p>
    <w:p>
      <w:pPr>
        <w:spacing w:after="60" w:before="60" w:line="240"/>
        <w:ind w:left="800" w:hanging="800"/>
      </w:pPr>
      <w:r>
        <w:rPr>
          <w:rFonts w:ascii="Georgia" w:cs="Georgia" w:eastAsia="Georgia" w:hAnsi="Georgia"/>
          <w:b/>
          <w:bCs/>
          <w:color w:val="2E5F8A"/>
          <w:sz w:val="18"/>
          <w:szCs w:val="18"/>
        </w:rPr>
        <w:t xml:space="preserve">[23]  </w:t>
      </w:r>
      <w:r>
        <w:rPr>
          <w:rFonts w:ascii="Georgia" w:cs="Georgia" w:eastAsia="Georgia" w:hAnsi="Georgia"/>
          <w:sz w:val="18"/>
          <w:szCs w:val="18"/>
        </w:rPr>
        <w:t xml:space="preserve">Hays, J.D., Imbrie, J. &amp; Shackleton, N.J. (1976). Variations in the Earth's Orbit: Pacemaker of the Ice Ages. Science 194(4270), 1121–1132.</w:t>
      </w:r>
    </w:p>
    <w:p>
      <w:pPr>
        <w:spacing w:after="60" w:before="60" w:line="240"/>
        <w:ind w:left="800" w:hanging="800"/>
      </w:pPr>
      <w:r>
        <w:rPr>
          <w:rFonts w:ascii="Georgia" w:cs="Georgia" w:eastAsia="Georgia" w:hAnsi="Georgia"/>
          <w:b/>
          <w:bCs/>
          <w:color w:val="2E5F8A"/>
          <w:sz w:val="18"/>
          <w:szCs w:val="18"/>
        </w:rPr>
        <w:t xml:space="preserve">[24]  </w:t>
      </w:r>
      <w:r>
        <w:rPr>
          <w:rFonts w:ascii="Georgia" w:cs="Georgia" w:eastAsia="Georgia" w:hAnsi="Georgia"/>
          <w:sz w:val="18"/>
          <w:szCs w:val="18"/>
        </w:rPr>
        <w:t xml:space="preserve">Laj, C. &amp; Channell, J.E.T. (2015). Geomagnetic Excursions. Treatise on Geophysics (2nd Ed.), Vol. 5, 343–383. Elsevier.</w:t>
      </w:r>
    </w:p>
    <w:p>
      <w:pPr>
        <w:spacing w:after="60" w:before="60" w:line="240"/>
        <w:ind w:left="800" w:hanging="800"/>
      </w:pPr>
      <w:r>
        <w:rPr>
          <w:rFonts w:ascii="Georgia" w:cs="Georgia" w:eastAsia="Georgia" w:hAnsi="Georgia"/>
          <w:b/>
          <w:bCs/>
          <w:color w:val="2E5F8A"/>
          <w:sz w:val="18"/>
          <w:szCs w:val="18"/>
        </w:rPr>
        <w:t xml:space="preserve">[25]  </w:t>
      </w:r>
      <w:r>
        <w:rPr>
          <w:rFonts w:ascii="Georgia" w:cs="Georgia" w:eastAsia="Georgia" w:hAnsi="Georgia"/>
          <w:sz w:val="18"/>
          <w:szCs w:val="18"/>
        </w:rPr>
        <w:t xml:space="preserve">Field, C.B. et al. (1998). Primary Production of the Biosphere: Integrating Terrestrial and Oceanic Components. Science 281(5374), 237–240.</w:t>
      </w:r>
    </w:p>
    <w:p>
      <w:pPr>
        <w:spacing w:after="60" w:before="60" w:line="240"/>
        <w:ind w:left="800" w:hanging="800"/>
      </w:pPr>
      <w:r>
        <w:rPr>
          <w:rFonts w:ascii="Georgia" w:cs="Georgia" w:eastAsia="Georgia" w:hAnsi="Georgia"/>
          <w:b/>
          <w:bCs/>
          <w:color w:val="2E5F8A"/>
          <w:sz w:val="18"/>
          <w:szCs w:val="18"/>
        </w:rPr>
        <w:t xml:space="preserve">[26]  </w:t>
      </w:r>
      <w:r>
        <w:rPr>
          <w:rFonts w:ascii="Georgia" w:cs="Georgia" w:eastAsia="Georgia" w:hAnsi="Georgia"/>
          <w:sz w:val="18"/>
          <w:szCs w:val="18"/>
        </w:rPr>
        <w:t xml:space="preserve">Archer, D. (2007). Methane Hydrate Stability and Anthropogenic Climate Change. Biogeosciences 4(4), 521–544.</w:t>
      </w:r>
    </w:p>
    <w:p>
      <w:pPr>
        <w:spacing w:after="60" w:before="60" w:line="240"/>
        <w:ind w:left="800" w:hanging="800"/>
      </w:pPr>
      <w:r>
        <w:rPr>
          <w:rFonts w:ascii="Georgia" w:cs="Georgia" w:eastAsia="Georgia" w:hAnsi="Georgia"/>
          <w:b/>
          <w:bCs/>
          <w:color w:val="2E5F8A"/>
          <w:sz w:val="18"/>
          <w:szCs w:val="18"/>
        </w:rPr>
        <w:t xml:space="preserve">[27]  </w:t>
      </w:r>
      <w:r>
        <w:rPr>
          <w:rFonts w:ascii="Georgia" w:cs="Georgia" w:eastAsia="Georgia" w:hAnsi="Georgia"/>
          <w:sz w:val="18"/>
          <w:szCs w:val="18"/>
        </w:rPr>
        <w:t xml:space="preserve">SIPRI (2025). SIPRI Yearbook 2025: Armaments, Disarmament and International Security. Stockholm International Peace Research Institute.</w:t>
      </w:r>
    </w:p>
    <w:p>
      <w:pPr>
        <w:spacing w:after="60" w:before="60" w:line="240"/>
        <w:ind w:left="800" w:hanging="800"/>
      </w:pPr>
      <w:r>
        <w:rPr>
          <w:rFonts w:ascii="Georgia" w:cs="Georgia" w:eastAsia="Georgia" w:hAnsi="Georgia"/>
          <w:b/>
          <w:bCs/>
          <w:color w:val="2E5F8A"/>
          <w:sz w:val="18"/>
          <w:szCs w:val="18"/>
        </w:rPr>
        <w:t xml:space="preserve">[28]  </w:t>
      </w:r>
      <w:r>
        <w:rPr>
          <w:rFonts w:ascii="Georgia" w:cs="Georgia" w:eastAsia="Georgia" w:hAnsi="Georgia"/>
          <w:sz w:val="18"/>
          <w:szCs w:val="18"/>
        </w:rPr>
        <w:t xml:space="preserve">Toon, O.B. et al. (2007). Atmospheric Effects and Societal Consequences of Regional Scale Nuclear Conflicts and Acts of Individual Nuclear Terrorism. Atmospheric Chemistry and Physics 7(8), 1973–2002.</w:t>
      </w:r>
    </w:p>
    <w:p>
      <w:pPr>
        <w:spacing w:after="60" w:before="60" w:line="240"/>
        <w:ind w:left="800" w:hanging="800"/>
      </w:pPr>
      <w:r>
        <w:rPr>
          <w:rFonts w:ascii="Georgia" w:cs="Georgia" w:eastAsia="Georgia" w:hAnsi="Georgia"/>
          <w:b/>
          <w:bCs/>
          <w:color w:val="2E5F8A"/>
          <w:sz w:val="18"/>
          <w:szCs w:val="18"/>
        </w:rPr>
        <w:t xml:space="preserve">[29]  </w:t>
      </w:r>
      <w:r>
        <w:rPr>
          <w:rFonts w:ascii="Georgia" w:cs="Georgia" w:eastAsia="Georgia" w:hAnsi="Georgia"/>
          <w:sz w:val="18"/>
          <w:szCs w:val="18"/>
        </w:rPr>
        <w:t xml:space="preserve">Russell, S. (2019). Human Compatible: Artificial Intelligence and the Problem of Control. Viking, New York.</w:t>
      </w:r>
    </w:p>
    <w:p>
      <w:pPr>
        <w:spacing w:after="60" w:before="60" w:line="240"/>
        <w:ind w:left="800" w:hanging="800"/>
      </w:pPr>
      <w:r>
        <w:rPr>
          <w:rFonts w:ascii="Georgia" w:cs="Georgia" w:eastAsia="Georgia" w:hAnsi="Georgia"/>
          <w:b/>
          <w:bCs/>
          <w:color w:val="2E5F8A"/>
          <w:sz w:val="18"/>
          <w:szCs w:val="18"/>
        </w:rPr>
        <w:t xml:space="preserve">[30]  </w:t>
      </w:r>
      <w:r>
        <w:rPr>
          <w:rFonts w:ascii="Georgia" w:cs="Georgia" w:eastAsia="Georgia" w:hAnsi="Georgia"/>
          <w:sz w:val="18"/>
          <w:szCs w:val="18"/>
        </w:rPr>
        <w:t xml:space="preserve">Ceballos, G. et al. (2017). Biological Annihilation via the Ongoing Sixth Mass Extinction Signaled by Vertebrate Population Losses and Declines. PNAS 114(30), E6089–E6096.</w:t>
      </w:r>
    </w:p>
    <w:p>
      <w:pPr>
        <w:spacing w:after="60" w:before="60" w:line="240"/>
        <w:ind w:left="800" w:hanging="800"/>
      </w:pPr>
      <w:r>
        <w:rPr>
          <w:rFonts w:ascii="Georgia" w:cs="Georgia" w:eastAsia="Georgia" w:hAnsi="Georgia"/>
          <w:b/>
          <w:bCs/>
          <w:color w:val="2E5F8A"/>
          <w:sz w:val="18"/>
          <w:szCs w:val="18"/>
        </w:rPr>
        <w:t xml:space="preserve">[31]  </w:t>
      </w:r>
      <w:r>
        <w:rPr>
          <w:rFonts w:ascii="Georgia" w:cs="Georgia" w:eastAsia="Georgia" w:hAnsi="Georgia"/>
          <w:sz w:val="18"/>
          <w:szCs w:val="18"/>
        </w:rPr>
        <w:t xml:space="preserve">Lenton, T.M. et al. (2018). Climate Tipping Points — Too Risky to Bet Against. Nature 575, 592–595.</w:t>
      </w:r>
    </w:p>
    <w:p>
      <w:pPr>
        <w:spacing w:after="60" w:before="60" w:line="240"/>
        <w:ind w:left="800" w:hanging="800"/>
      </w:pPr>
      <w:r>
        <w:rPr>
          <w:rFonts w:ascii="Georgia" w:cs="Georgia" w:eastAsia="Georgia" w:hAnsi="Georgia"/>
          <w:b/>
          <w:bCs/>
          <w:color w:val="2E5F8A"/>
          <w:sz w:val="18"/>
          <w:szCs w:val="18"/>
        </w:rPr>
        <w:t xml:space="preserve">[32]  </w:t>
      </w:r>
      <w:r>
        <w:rPr>
          <w:rFonts w:ascii="Georgia" w:cs="Georgia" w:eastAsia="Georgia" w:hAnsi="Georgia"/>
          <w:sz w:val="18"/>
          <w:szCs w:val="18"/>
        </w:rPr>
        <w:t xml:space="preserve">Cordell, D., Drangert, J.-O. &amp; White, S. (2009). The Story of Phosphorus: Global Food Security and Food for Thought. Global Environmental Change 19(2), 292–305.</w:t>
      </w:r>
    </w:p>
    <w:p>
      <w:pPr>
        <w:spacing w:after="60" w:before="60" w:line="240"/>
        <w:ind w:left="800" w:hanging="800"/>
      </w:pPr>
      <w:r>
        <w:rPr>
          <w:rFonts w:ascii="Georgia" w:cs="Georgia" w:eastAsia="Georgia" w:hAnsi="Georgia"/>
          <w:b/>
          <w:bCs/>
          <w:color w:val="2E5F8A"/>
          <w:sz w:val="18"/>
          <w:szCs w:val="18"/>
        </w:rPr>
        <w:t xml:space="preserve">[33]  </w:t>
      </w:r>
      <w:r>
        <w:rPr>
          <w:rFonts w:ascii="Georgia" w:cs="Georgia" w:eastAsia="Georgia" w:hAnsi="Georgia"/>
          <w:sz w:val="18"/>
          <w:szCs w:val="18"/>
        </w:rPr>
        <w:t xml:space="preserve">Frankham, R. (1995). Inbreeding and Extinction: A Threshold Effect. Conservation Biology 9(4), 792–799.</w:t>
      </w:r>
    </w:p>
    <w:p>
      <w:pPr>
        <w:spacing w:after="60" w:before="60" w:line="240"/>
        <w:ind w:left="800" w:hanging="800"/>
      </w:pPr>
      <w:r>
        <w:rPr>
          <w:rFonts w:ascii="Georgia" w:cs="Georgia" w:eastAsia="Georgia" w:hAnsi="Georgia"/>
          <w:b/>
          <w:bCs/>
          <w:color w:val="2E5F8A"/>
          <w:sz w:val="18"/>
          <w:szCs w:val="18"/>
        </w:rPr>
        <w:t xml:space="preserve">[34]  </w:t>
      </w:r>
      <w:r>
        <w:rPr>
          <w:rFonts w:ascii="Georgia" w:cs="Georgia" w:eastAsia="Georgia" w:hAnsi="Georgia"/>
          <w:sz w:val="18"/>
          <w:szCs w:val="18"/>
        </w:rPr>
        <w:t xml:space="preserve">Franklin, I.R. (1980). Evolutionary Change in Small Populations. In: Soulé, M.E. &amp; Wilcox, B.A. (eds.), Conservation Biology: An Evolutionary-Ecological Perspective. Sinauer, Sunderland MA. pp. 135–149.</w:t>
      </w:r>
    </w:p>
    <w:p>
      <w:pPr>
        <w:spacing w:after="60" w:before="60" w:line="240"/>
        <w:ind w:left="800" w:hanging="800"/>
      </w:pPr>
      <w:r>
        <w:rPr>
          <w:rFonts w:ascii="Georgia" w:cs="Georgia" w:eastAsia="Georgia" w:hAnsi="Georgia"/>
          <w:b/>
          <w:bCs/>
          <w:color w:val="2E5F8A"/>
          <w:sz w:val="18"/>
          <w:szCs w:val="18"/>
        </w:rPr>
        <w:t xml:space="preserve">[35]  </w:t>
      </w:r>
      <w:r>
        <w:rPr>
          <w:rFonts w:ascii="Georgia" w:cs="Georgia" w:eastAsia="Georgia" w:hAnsi="Georgia"/>
          <w:sz w:val="18"/>
          <w:szCs w:val="18"/>
        </w:rPr>
        <w:t xml:space="preserve">Carter, J.E. (2026). Demographic Recovery vs. Total Environmental Remediation: A Comparative Systems Analysis Following a 70–75% Global Population Reduction Event. Presignal Research Initiative. Zenodo.</w:t>
      </w:r>
    </w:p>
    <w:p>
      <w:pPr>
        <w:spacing w:after="60" w:before="60" w:line="240"/>
        <w:ind w:left="800" w:hanging="800"/>
      </w:pPr>
      <w:r>
        <w:rPr>
          <w:rFonts w:ascii="Georgia" w:cs="Georgia" w:eastAsia="Georgia" w:hAnsi="Georgia"/>
          <w:b/>
          <w:bCs/>
          <w:color w:val="2E5F8A"/>
          <w:sz w:val="18"/>
          <w:szCs w:val="18"/>
        </w:rPr>
        <w:t xml:space="preserve">[36]  </w:t>
      </w:r>
      <w:r>
        <w:rPr>
          <w:rFonts w:ascii="Georgia" w:cs="Georgia" w:eastAsia="Georgia" w:hAnsi="Georgia"/>
          <w:sz w:val="18"/>
          <w:szCs w:val="18"/>
        </w:rPr>
        <w:t xml:space="preserve">Capdevila, P. et al. (2020). Longevity of Long-Lived Organisms Linked to Specific Life-History Trade-offs. Proceedings of the Royal Society B 287, 20200380.</w:t>
      </w:r>
    </w:p>
    <w:p>
      <w:pPr>
        <w:spacing w:after="60" w:before="60" w:line="240"/>
        <w:ind w:left="800" w:hanging="800"/>
      </w:pPr>
      <w:r>
        <w:rPr>
          <w:rFonts w:ascii="Georgia" w:cs="Georgia" w:eastAsia="Georgia" w:hAnsi="Georgia"/>
          <w:b/>
          <w:bCs/>
          <w:color w:val="2E5F8A"/>
          <w:sz w:val="18"/>
          <w:szCs w:val="18"/>
        </w:rPr>
        <w:t xml:space="preserve">[37]  </w:t>
      </w:r>
      <w:r>
        <w:rPr>
          <w:rFonts w:ascii="Georgia" w:cs="Georgia" w:eastAsia="Georgia" w:hAnsi="Georgia"/>
          <w:sz w:val="18"/>
          <w:szCs w:val="18"/>
        </w:rPr>
        <w:t xml:space="preserve">Smith, S.M. et al. (2024). The State of Carbon Dioxide Removal (2nd Edition). University of Oxford / IIASA.</w:t>
      </w:r>
    </w:p>
    <w:p>
      <w:pPr>
        <w:spacing w:after="200" w:before="0"/>
      </w:pPr>
    </w:p>
    <w:p>
      <w:pPr>
        <w:pBdr>
          <w:bottom w:val="single" w:color="2E5F8A" w:sz="4" w:space="2"/>
        </w:pBdr>
        <w:spacing w:after="80" w:before="80"/>
      </w:pPr>
    </w:p>
    <w:p>
      <w:pPr>
        <w:spacing w:after="80" w:before="0"/>
      </w:pPr>
    </w:p>
    <w:p>
      <w:pPr>
        <w:jc w:val="center"/>
      </w:pPr>
      <w:r>
        <w:rPr>
          <w:rFonts w:ascii="Georgia" w:cs="Georgia" w:eastAsia="Georgia" w:hAnsi="Georgia"/>
          <w:color w:val="888888"/>
          <w:sz w:val="16"/>
          <w:szCs w:val="16"/>
        </w:rPr>
        <w:t xml:space="preserve">© 2026 John Ernest Carter  |  Presignal Research Initiative  |  Niagara Region, Ontario, Canada</w:t>
      </w:r>
    </w:p>
    <w:p>
      <w:pPr>
        <w:jc w:val="center"/>
      </w:pPr>
      <w:r>
        <w:rPr>
          <w:rFonts w:ascii="Georgia" w:cs="Georgia" w:eastAsia="Georgia" w:hAnsi="Georgia"/>
          <w:color w:val="888888"/>
          <w:sz w:val="16"/>
          <w:szCs w:val="16"/>
        </w:rPr>
        <w:t xml:space="preserve">ORCID: 0009-0004-1363-304X  |  jubecrew@gmail.com</w:t>
      </w:r>
    </w:p>
    <w:p>
      <w:pPr>
        <w:jc w:val="center"/>
      </w:pPr>
      <w:r>
        <w:rPr>
          <w:rFonts w:ascii="Georgia" w:cs="Georgia" w:eastAsia="Georgia" w:hAnsi="Georgia"/>
          <w:i/>
          <w:iCs/>
          <w:color w:val="888888"/>
          <w:sz w:val="16"/>
          <w:szCs w:val="16"/>
        </w:rPr>
        <w:t xml:space="preserve">Independent monograph released under open access. Cite freely with attribution.</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FA8C0" w:sz="4" w:space="6"/>
      </w:pBdr>
      <w:jc w:val="center"/>
    </w:pPr>
    <w:r>
      <w:rPr>
        <w:rFonts w:ascii="Georgia" w:cs="Georgia" w:eastAsia="Georgia" w:hAnsi="Georgia"/>
        <w:color w:val="888888"/>
        <w:sz w:val="16"/>
        <w:szCs w:val="16"/>
      </w:rPr>
      <w:t xml:space="preserve">The Extinction Codex  |  Presignal Research Initiative  |  John Ernest Carter  |  ORCID 0009-0004-1363-304X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bullet"/>
      <w:lvlText w:val="◦"/>
      <w:lvlJc w:val="left"/>
      <w:pPr>
        <w:spacing w:after="40" w:before="40"/>
        <w:ind w:left="1080" w:hanging="360"/>
      </w:pPr>
    </w:lvl>
  </w:abstractNum>
  <w:abstractNum w:abstractNumId="4"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0D1F3C"/>
      <w:sz w:val="32"/>
      <w:szCs w:val="32"/>
    </w:rPr>
  </w:style>
  <w:style w:type="paragraph" w:styleId="Heading2">
    <w:name w:val="Heading 2"/>
    <w:basedOn w:val="Normal"/>
    <w:next w:val="Normal"/>
    <w:qFormat/>
    <w:pPr>
      <w:spacing w:after="100" w:before="240"/>
      <w:outlineLvl w:val="1"/>
    </w:pPr>
    <w:rPr>
      <w:rFonts w:ascii="Georgia" w:cs="Georgia" w:eastAsia="Georgia" w:hAnsi="Georgia"/>
      <w:b/>
      <w:bCs/>
      <w:color w:val="2E5F8A"/>
      <w:sz w:val="26"/>
      <w:szCs w:val="26"/>
    </w:rPr>
  </w:style>
  <w:style w:type="paragraph" w:styleId="Heading3">
    <w:name w:val="Heading 3"/>
    <w:basedOn w:val="Normal"/>
    <w:next w:val="Normal"/>
    <w:qFormat/>
    <w:pPr>
      <w:spacing w:after="80" w:before="180"/>
      <w:outlineLvl w:val="2"/>
    </w:pPr>
    <w:rPr>
      <w:rFonts w:ascii="Georgia" w:cs="Georgia" w:eastAsia="Georgia" w:hAnsi="Georgia"/>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2026-05-17T16:41:36.072Z</dcterms:created>
  <dcterms:modified xsi:type="dcterms:W3CDTF">2026-05-17T16:41:36.073Z</dcterms:modified>
</cp:coreProperties>
</file>

<file path=docProps/custom.xml><?xml version="1.0" encoding="utf-8"?>
<Properties xmlns="http://schemas.openxmlformats.org/officeDocument/2006/custom-properties" xmlns:vt="http://schemas.openxmlformats.org/officeDocument/2006/docPropsVTypes"/>
</file>