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/>
      </w:pPr>
      <w:r>
        <w:rPr>
          <w:rFonts w:eastAsia="Times New Roman" w:cs="Times New Roman"/>
          <w:b/>
          <w:bCs/>
          <w:caps w:val="false"/>
          <w:smallCaps w:val="false"/>
          <w:sz w:val="28"/>
          <w:szCs w:val="28"/>
        </w:rPr>
        <w:t>Министерство Транспорта Российской Федерации</w:t>
      </w:r>
    </w:p>
    <w:p>
      <w:pPr>
        <w:pStyle w:val="Normal"/>
        <w:spacing w:before="0" w:after="0"/>
        <w:jc w:val="center"/>
        <w:rPr/>
      </w:pPr>
      <w:r>
        <w:rPr>
          <w:rFonts w:eastAsia="Times New Roman" w:cs="Times New Roman"/>
          <w:b/>
          <w:bCs/>
          <w:caps w:val="false"/>
          <w:smallCaps w:val="false"/>
          <w:sz w:val="28"/>
          <w:szCs w:val="28"/>
        </w:rPr>
        <w:t>Федеральное Государственное Автономное</w:t>
      </w:r>
    </w:p>
    <w:p>
      <w:pPr>
        <w:pStyle w:val="Normal"/>
        <w:spacing w:before="0" w:after="0"/>
        <w:jc w:val="center"/>
        <w:rPr/>
      </w:pPr>
      <w:r>
        <w:rPr>
          <w:rFonts w:eastAsia="Times New Roman" w:cs="Times New Roman"/>
          <w:b/>
          <w:bCs/>
          <w:caps w:val="false"/>
          <w:smallCaps w:val="false"/>
          <w:sz w:val="28"/>
          <w:szCs w:val="28"/>
        </w:rPr>
        <w:t>образовательное Учреждение</w:t>
      </w:r>
    </w:p>
    <w:p>
      <w:pPr>
        <w:pStyle w:val="Normal"/>
        <w:spacing w:before="0" w:after="0"/>
        <w:jc w:val="center"/>
        <w:rPr/>
      </w:pPr>
      <w:r>
        <w:rPr>
          <w:rFonts w:eastAsia="Times New Roman" w:cs="Times New Roman"/>
          <w:b/>
          <w:bCs/>
          <w:caps w:val="false"/>
          <w:smallCaps w:val="false"/>
          <w:sz w:val="28"/>
          <w:szCs w:val="28"/>
        </w:rPr>
        <w:t>Высшего Образования</w:t>
      </w:r>
    </w:p>
    <w:p>
      <w:pPr>
        <w:pStyle w:val="Normal"/>
        <w:spacing w:before="0" w:after="0"/>
        <w:jc w:val="center"/>
        <w:rPr/>
      </w:pPr>
      <w:r>
        <w:rPr>
          <w:rFonts w:eastAsia="Times New Roman" w:cs="Times New Roman"/>
          <w:b/>
          <w:bCs/>
          <w:caps w:val="false"/>
          <w:smallCaps w:val="false"/>
          <w:sz w:val="28"/>
          <w:szCs w:val="28"/>
        </w:rPr>
        <w:t>«РОССИЙСКИЙ УНИВЕРСИТЕТ ТРАНСПОРТА»</w:t>
      </w:r>
    </w:p>
    <w:p>
      <w:pPr>
        <w:pStyle w:val="Normal"/>
        <w:spacing w:before="0" w:after="500"/>
        <w:jc w:val="center"/>
        <w:rPr/>
      </w:pPr>
      <w:r>
        <w:rPr>
          <w:rFonts w:eastAsia="Times New Roman" w:cs="Times New Roman"/>
          <w:b/>
          <w:bCs/>
          <w:caps w:val="false"/>
          <w:smallCaps w:val="false"/>
          <w:sz w:val="28"/>
          <w:szCs w:val="28"/>
        </w:rPr>
        <w:t>(«РУТ (МИИТ)»)</w:t>
      </w:r>
    </w:p>
    <w:p>
      <w:pPr>
        <w:pStyle w:val="Normal"/>
        <w:spacing w:before="0" w:after="0"/>
        <w:jc w:val="center"/>
        <w:rPr/>
      </w:pPr>
      <w:r>
        <w:rPr>
          <w:rFonts w:eastAsia="Times New Roman" w:cs="Times New Roman"/>
          <w:b w:val="false"/>
          <w:bCs w:val="false"/>
          <w:caps w:val="false"/>
          <w:smallCaps w:val="false"/>
          <w:sz w:val="28"/>
          <w:szCs w:val="28"/>
        </w:rPr>
        <w:t>Институт железнодорожного транспорта</w:t>
      </w:r>
    </w:p>
    <w:p>
      <w:pPr>
        <w:pStyle w:val="Normal"/>
        <w:spacing w:before="0" w:after="1400"/>
        <w:jc w:val="center"/>
        <w:rPr/>
      </w:pPr>
      <w:r>
        <w:rPr>
          <w:rFonts w:eastAsia="Times New Roman" w:cs="Times New Roman"/>
          <w:b w:val="false"/>
          <w:bCs w:val="false"/>
          <w:caps w:val="false"/>
          <w:smallCaps w:val="false"/>
          <w:sz w:val="28"/>
          <w:szCs w:val="28"/>
        </w:rPr>
        <w:t>Кафедра "Математическое моделирование сложных систем"</w:t>
      </w:r>
    </w:p>
    <w:p>
      <w:pPr>
        <w:pStyle w:val="Normal"/>
        <w:spacing w:before="0" w:after="300"/>
        <w:jc w:val="center"/>
        <w:rPr/>
      </w:pPr>
      <w:r>
        <w:rPr>
          <w:rFonts w:eastAsia="Times New Roman" w:cs="Times New Roman"/>
          <w:b/>
          <w:bCs/>
          <w:caps w:val="false"/>
          <w:smallCaps w:val="false"/>
          <w:sz w:val="28"/>
          <w:szCs w:val="28"/>
        </w:rPr>
        <w:t>ЛАБОРАТОРНАЯ РАБОТА №</w:t>
      </w:r>
      <w:r>
        <w:rPr>
          <w:rFonts w:eastAsia="Times New Roman" w:cs="Times New Roman"/>
          <w:b/>
          <w:bCs/>
          <w:caps w:val="false"/>
          <w:smallCaps w:val="false"/>
          <w:sz w:val="28"/>
          <w:szCs w:val="28"/>
        </w:rPr>
        <w:t>3</w:t>
      </w:r>
    </w:p>
    <w:p>
      <w:pPr>
        <w:pStyle w:val="Normal"/>
        <w:spacing w:before="0" w:after="300"/>
        <w:jc w:val="center"/>
        <w:rPr/>
      </w:pPr>
      <w:r>
        <w:rPr>
          <w:rFonts w:eastAsia="Times New Roman" w:cs="Times New Roman"/>
          <w:b w:val="false"/>
          <w:bCs w:val="false"/>
          <w:caps w:val="false"/>
          <w:smallCaps w:val="false"/>
          <w:sz w:val="28"/>
          <w:szCs w:val="28"/>
        </w:rPr>
        <w:t>По дисциплине: «Математическое моделирование транспортных процессов»</w:t>
      </w:r>
    </w:p>
    <w:p>
      <w:pPr>
        <w:pStyle w:val="Normal"/>
        <w:spacing w:before="0" w:after="1600"/>
        <w:jc w:val="center"/>
        <w:rPr/>
      </w:pPr>
      <w:r>
        <w:rPr>
          <w:rFonts w:eastAsia="Times New Roman" w:cs="Times New Roman"/>
          <w:b w:val="false"/>
          <w:bCs w:val="false"/>
          <w:caps w:val="false"/>
          <w:smallCaps w:val="false"/>
          <w:sz w:val="28"/>
          <w:szCs w:val="28"/>
        </w:rPr>
        <w:t>Тема: «Моделирование непрерывных случайных величин методом обратной функции»</w:t>
      </w:r>
    </w:p>
    <w:p>
      <w:pPr>
        <w:pStyle w:val="Normal"/>
        <w:spacing w:before="0" w:after="60"/>
        <w:jc w:val="right"/>
        <w:rPr/>
      </w:pPr>
      <w:r>
        <w:rPr>
          <w:rFonts w:eastAsia="Times New Roman" w:cs="Times New Roman"/>
          <w:sz w:val="28"/>
          <w:szCs w:val="28"/>
        </w:rPr>
        <w:t>Выполнил</w:t>
      </w:r>
    </w:p>
    <w:p>
      <w:pPr>
        <w:pStyle w:val="Normal"/>
        <w:spacing w:before="0" w:after="1400"/>
        <w:jc w:val="right"/>
        <w:rPr/>
      </w:pPr>
      <w:r>
        <w:rPr>
          <w:rFonts w:eastAsia="Times New Roman" w:cs="Times New Roman"/>
          <w:sz w:val="28"/>
          <w:szCs w:val="28"/>
        </w:rPr>
        <w:t>Студент УПМ-311 Рундквист.Е.А</w:t>
      </w:r>
    </w:p>
    <w:p>
      <w:pPr>
        <w:pStyle w:val="Normal"/>
        <w:spacing w:before="0" w:after="0"/>
        <w:jc w:val="center"/>
        <w:rPr/>
      </w:pPr>
      <w:r>
        <w:rPr>
          <w:rFonts w:eastAsia="Times New Roman" w:cs="Times New Roman"/>
          <w:b w:val="false"/>
          <w:bCs w:val="false"/>
          <w:caps w:val="false"/>
          <w:smallCaps w:val="false"/>
          <w:sz w:val="28"/>
          <w:szCs w:val="28"/>
        </w:rPr>
        <w:t>Москва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312" w:before="0" w:after="120"/>
        <w:jc w:val="both"/>
        <w:rPr>
          <w:b/>
          <w:bCs/>
        </w:rPr>
      </w:pPr>
      <w:r>
        <w:rPr>
          <w:rFonts w:eastAsia="Times New Roman" w:cs="Times New Roman"/>
          <w:b/>
          <w:bCs/>
          <w:sz w:val="28"/>
          <w:szCs w:val="28"/>
        </w:rPr>
        <w:t>Задача: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Задана плотность распределения f(x) непрерывной случайной величины X, заданной на интервале (a, b). Нужно: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1. Смоделировать N значений случайной величины методом обратной функции.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2. Вывести q первых значений (q &lt; N).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3. Найти точные значения математического ожидания и дисперсии случайной величины X.</w:t>
      </w:r>
    </w:p>
    <w:p>
      <w:pPr>
        <w:pStyle w:val="Normal"/>
        <w:spacing w:lineRule="exact" w:line="312" w:before="0" w:after="20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4. Вычислить оценки математического ожидания и дисперсии случайной величины X и сравнить их с точными значениями, сделать выводы.</w:t>
      </w:r>
    </w:p>
    <w:p>
      <w:pPr>
        <w:pStyle w:val="Normal"/>
        <w:spacing w:lineRule="exact" w:line="312" w:before="0" w:after="200"/>
        <w:jc w:val="both"/>
        <w:rPr>
          <w:b/>
          <w:bCs/>
        </w:rPr>
      </w:pPr>
      <w:r>
        <w:rPr>
          <w:rFonts w:eastAsia="Times New Roman" w:cs="Times New Roman"/>
          <w:b/>
          <w:bCs/>
          <w:sz w:val="28"/>
          <w:szCs w:val="28"/>
        </w:rPr>
        <w:t>Дано: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Исходные данные (вариант 19):</w:t>
      </w:r>
    </w:p>
    <w:p>
      <w:pPr>
        <w:pStyle w:val="Normal"/>
        <w:spacing w:before="100" w:after="140"/>
        <w:jc w:val="center"/>
        <w:rPr/>
      </w:pPr>
      <w:r>
        <w:rPr/>
        <w:drawing>
          <wp:inline distT="0" distB="0" distL="0" distR="0">
            <wp:extent cx="4476750" cy="438150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Проверка условия нормировки:</w:t>
      </w:r>
    </w:p>
    <w:p>
      <w:pPr>
        <w:pStyle w:val="Normal"/>
        <w:spacing w:before="100" w:after="140"/>
        <w:jc w:val="center"/>
        <w:rPr/>
      </w:pPr>
      <w:r>
        <w:rPr/>
        <w:drawing>
          <wp:inline distT="0" distB="0" distL="0" distR="0">
            <wp:extent cx="4505325" cy="542925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ab/>
        <w:t>Площадь под кривой плотности равна единице, следовательно плотность задана корректно.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Нахождение обратной функции:</w:t>
      </w:r>
    </w:p>
    <w:p>
      <w:pPr>
        <w:pStyle w:val="Normal"/>
        <w:spacing w:before="100" w:after="140"/>
        <w:jc w:val="center"/>
        <w:rPr/>
      </w:pPr>
      <w:r>
        <w:rPr/>
        <w:drawing>
          <wp:inline distT="0" distB="0" distL="0" distR="0">
            <wp:extent cx="3133725" cy="485775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140"/>
        <w:jc w:val="center"/>
        <w:rPr/>
      </w:pPr>
      <w:r>
        <w:rPr/>
        <w:drawing>
          <wp:inline distT="0" distB="0" distL="0" distR="0">
            <wp:extent cx="3095625" cy="466725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140"/>
        <w:jc w:val="center"/>
        <w:rPr/>
      </w:pPr>
      <w:r>
        <w:rPr/>
        <w:drawing>
          <wp:inline distT="0" distB="0" distL="0" distR="0">
            <wp:extent cx="4438650" cy="438150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ab/>
        <w:t>Функция F(x) строго возрастает на интервале, поэтому обратная функция однозначна; её значения на концах совпадают с границами интервала.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Точное математическое ожидание:</w:t>
      </w:r>
    </w:p>
    <w:p>
      <w:pPr>
        <w:pStyle w:val="Normal"/>
        <w:spacing w:before="100" w:after="140"/>
        <w:jc w:val="center"/>
        <w:rPr/>
      </w:pPr>
      <w:r>
        <w:rPr/>
        <w:drawing>
          <wp:inline distT="0" distB="0" distL="0" distR="0">
            <wp:extent cx="4000500" cy="514350"/>
            <wp:effectExtent l="0" t="0" r="0" b="0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Точная дисперсия:</w:t>
      </w:r>
    </w:p>
    <w:p>
      <w:pPr>
        <w:pStyle w:val="Normal"/>
        <w:spacing w:before="100" w:after="140"/>
        <w:jc w:val="center"/>
        <w:rPr/>
      </w:pPr>
      <w:r>
        <w:rPr/>
        <w:drawing>
          <wp:inline distT="0" distB="0" distL="0" distR="0">
            <wp:extent cx="3457575" cy="514350"/>
            <wp:effectExtent l="0" t="0" r="0" b="0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Интеграл для дисперсии не выражается через элементарные функции, поэтому его значение получено численным интегрированием методом трапеций.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Сформируем выборку из N = 80 элементов. Для каждого сгенерированного равномерного числа rᵢ ∈ (0, 1) вычислялось значение xᵢ = arctg((4rᵢ − 1)/√3).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По полученной выборке рассчитаны статистические оценки: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 xml:space="preserve">— </w:t>
      </w:r>
      <w:r>
        <w:rPr>
          <w:rFonts w:eastAsia="Times New Roman" w:cs="Times New Roman"/>
          <w:b w:val="false"/>
          <w:bCs w:val="false"/>
          <w:sz w:val="28"/>
          <w:szCs w:val="28"/>
        </w:rPr>
        <w:t>Оценка математического ожидания (m):</w:t>
      </w:r>
    </w:p>
    <w:p>
      <w:pPr>
        <w:pStyle w:val="Normal"/>
        <w:spacing w:before="100" w:after="140"/>
        <w:jc w:val="center"/>
        <w:rPr/>
      </w:pPr>
      <w:r>
        <w:rPr/>
        <w:drawing>
          <wp:inline distT="0" distB="0" distL="0" distR="0">
            <wp:extent cx="1123950" cy="647700"/>
            <wp:effectExtent l="0" t="0" r="0" b="0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 xml:space="preserve">— </w:t>
      </w:r>
      <w:r>
        <w:rPr>
          <w:rFonts w:eastAsia="Times New Roman" w:cs="Times New Roman"/>
          <w:b w:val="false"/>
          <w:bCs w:val="false"/>
          <w:sz w:val="28"/>
          <w:szCs w:val="28"/>
        </w:rPr>
        <w:t>Несмещённая оценка дисперсии (g):</w:t>
      </w:r>
    </w:p>
    <w:p>
      <w:pPr>
        <w:pStyle w:val="Normal"/>
        <w:spacing w:before="100" w:after="140"/>
        <w:jc w:val="center"/>
        <w:rPr/>
      </w:pPr>
      <w:r>
        <w:rPr/>
        <w:drawing>
          <wp:inline distT="0" distB="0" distL="0" distR="0">
            <wp:extent cx="2314575" cy="647700"/>
            <wp:effectExtent l="0" t="0" r="0" b="0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140"/>
        <w:jc w:val="center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33825" cy="3448050"/>
            <wp:effectExtent l="0" t="0" r="0" b="0"/>
            <wp:wrapSquare wrapText="largest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100" w:after="140"/>
        <w:jc w:val="center"/>
        <w:rPr/>
      </w:pPr>
      <w:r>
        <w:rPr/>
        <w:drawing>
          <wp:inline distT="0" distB="0" distL="0" distR="0">
            <wp:extent cx="5715000" cy="3495675"/>
            <wp:effectExtent l="0" t="0" r="0" b="0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312" w:before="0" w:after="16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Вывод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ab/>
        <w:t>Рассчитанные в ходе моделирования статистические оценки математического ожидания m и дисперсии g оказались близки к точным теоретическим значениям M ≈ 0.4166 и D ≈ 0.2340. Все смоделированные значения лежат внутри заданного интервала (−π/6; π/3), а гистограмма эмпирической плотности повторяет форму теоретической кривой f(x) с характерным ростом к правой границе интервала.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ab/>
        <w:t>Возникающая между оценками и точными значениями разница является допустимой статистической погрешностью, характерной для метода Монте-Карло при конечном объёме выборки (N = 80): стандартная ошибка оценки среднего составляет σ/√N = 0.484/√80 ≈ 0.054.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ab/>
        <w:t>Отсутствие грубых расхождений подтверждает, что аналитический вывод обратной функции был выполнен верно, а программный датчик корректно формирует заданный закон распределения непрерывной случайной величины. При дальнейшем увеличении N выборочные оценки будут асимптотически приближаться к точным константам.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ru-RU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LibreOffice/24.2.7.2$Linux_X86_64 LibreOffice_project/420$Build-2</Application>
  <AppVersion>15.0000</AppVersion>
  <Pages>4</Pages>
  <Words>323</Words>
  <Characters>2331</Characters>
  <CharactersWithSpaces>2624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2026-10-09T12:47:19Z</dcterms:created>
  <dc:creator>Un-named</dc:creator>
  <dc:description/>
  <dc:language>ru-RU</dc:language>
  <cp:lastModifiedBy/>
  <dcterms:modified xsi:type="dcterms:W3CDTF">2026-10-09T16:12:00Z</dcterms:modified>
  <cp:revision>4</cp:revision>
  <dc:subject/>
  <dc:title/>
</cp:coreProperties>
</file>