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Group 5 Assignment</w:t>
      </w:r>
    </w:p>
    <w:p>
      <w:pPr>
        <w:spacing w:after="300"/>
        <w:jc w:val="center"/>
      </w:pPr>
      <w:r>
        <w:rPr>
          <w:rFonts w:ascii="Calibri" w:cs="Calibri" w:eastAsia="Calibri" w:hAnsi="Calibri"/>
          <w:i/>
          <w:iCs/>
          <w:sz w:val="22"/>
          <w:szCs w:val="22"/>
        </w:rPr>
        <w:t xml:space="preserve">An Introduction to Statistical Learning — Chapter 4 (Classification)</w:t>
      </w:r>
    </w:p>
    <w:p>
      <w:pPr>
        <w:pStyle w:val="Heading1"/>
        <w:spacing w:after="120" w:before="240"/>
      </w:pPr>
      <w:r>
        <w:rPr>
          <w:rFonts w:ascii="Calibri" w:cs="Calibri" w:eastAsia="Calibri" w:hAnsi="Calibri"/>
          <w:b/>
          <w:bCs/>
          <w:color w:val="1F3864"/>
          <w:sz w:val="30"/>
          <w:szCs w:val="30"/>
        </w:rPr>
        <w:t xml:space="preserve">Problem 1 — Equivalence of (4.2) and (4.3)</w:t>
      </w:r>
    </w:p>
    <w:p>
      <w:pPr>
        <w:spacing w:after="120"/>
      </w:pPr>
      <w:r>
        <w:rPr>
          <w:rFonts w:ascii="Calibri" w:cs="Calibri" w:eastAsia="Calibri" w:hAnsi="Calibri"/>
          <w:sz w:val="22"/>
          <w:szCs w:val="22"/>
        </w:rPr>
        <w:t xml:space="preserve">The logistic-function form (4.2) is</w:t>
      </w:r>
    </w:p>
    <w:p>
      <w:pPr>
        <w:spacing w:after="120" w:before="80"/>
        <w:jc w:val="center"/>
      </w:pPr>
      <w:r>
        <w:rPr>
          <w:rFonts w:ascii="Cambria Math" w:cs="Cambria Math" w:eastAsia="Cambria Math" w:hAnsi="Cambria Math"/>
          <w:sz w:val="24"/>
          <w:szCs w:val="24"/>
        </w:rPr>
        <w:t xml:space="preserve">p(X)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 / [ 1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 ],</w:t>
      </w:r>
    </w:p>
    <w:p>
      <w:pPr>
        <w:spacing w:after="120"/>
      </w:pPr>
      <w:r>
        <w:rPr>
          <w:rFonts w:ascii="Calibri" w:cs="Calibri" w:eastAsia="Calibri" w:hAnsi="Calibri"/>
          <w:sz w:val="22"/>
          <w:szCs w:val="22"/>
        </w:rPr>
        <w:t xml:space="preserve">and the logit (odds) form (4.3) is</w:t>
      </w:r>
    </w:p>
    <w:p>
      <w:pPr>
        <w:spacing w:after="120" w:before="80"/>
        <w:jc w:val="center"/>
      </w:pPr>
      <w:r>
        <w:rPr>
          <w:rFonts w:ascii="Cambria Math" w:cs="Cambria Math" w:eastAsia="Cambria Math" w:hAnsi="Cambria Math"/>
          <w:sz w:val="24"/>
          <w:szCs w:val="24"/>
        </w:rPr>
        <w:t xml:space="preserve">p(X) / [1 − p(X)]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w:t>
      </w:r>
    </w:p>
    <w:p>
      <w:pPr>
        <w:spacing w:after="120"/>
      </w:pPr>
      <w:r>
        <w:rPr>
          <w:rFonts w:ascii="Calibri" w:cs="Calibri" w:eastAsia="Calibri" w:hAnsi="Calibri"/>
          <w:b/>
          <w:bCs/>
          <w:sz w:val="22"/>
          <w:szCs w:val="22"/>
        </w:rPr>
        <w:t xml:space="preserve">Proof.  </w:t>
      </w:r>
      <w:r>
        <w:rPr>
          <w:rFonts w:ascii="Calibri" w:cs="Calibri" w:eastAsia="Calibri" w:hAnsi="Calibri"/>
          <w:sz w:val="22"/>
          <w:szCs w:val="22"/>
        </w:rPr>
        <w:t xml:space="preserve">Start from (4.2) and compute 1 − p(X):</w:t>
      </w:r>
    </w:p>
    <w:p>
      <w:pPr>
        <w:spacing w:after="120" w:before="80"/>
        <w:jc w:val="center"/>
      </w:pPr>
      <w:r>
        <w:rPr>
          <w:rFonts w:ascii="Cambria Math" w:cs="Cambria Math" w:eastAsia="Cambria Math" w:hAnsi="Cambria Math"/>
          <w:sz w:val="24"/>
          <w:szCs w:val="24"/>
        </w:rPr>
        <w:t xml:space="preserve">1 − p(X) = 1 −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/[1+e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 = 1 / [1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w:t>
      </w:r>
    </w:p>
    <w:p>
      <w:pPr>
        <w:spacing w:after="120"/>
      </w:pPr>
      <w:r>
        <w:rPr>
          <w:rFonts w:ascii="Calibri" w:cs="Calibri" w:eastAsia="Calibri" w:hAnsi="Calibri"/>
          <w:sz w:val="22"/>
          <w:szCs w:val="22"/>
        </w:rPr>
        <w:t xml:space="preserve">Now form the odds by dividing p(X) by 1 − p(X):</w:t>
      </w:r>
    </w:p>
    <w:p>
      <w:pPr>
        <w:spacing w:after="120" w:before="80"/>
        <w:jc w:val="center"/>
      </w:pPr>
      <w:r>
        <w:rPr>
          <w:rFonts w:ascii="Cambria Math" w:cs="Cambria Math" w:eastAsia="Cambria Math" w:hAnsi="Cambria Math"/>
          <w:sz w:val="24"/>
          <w:szCs w:val="24"/>
        </w:rPr>
        <w:t xml:space="preserve">p(X)/[1−p(X)] =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/[1+e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 } ÷ { 1/[1+e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 } = e</w:t>
      </w:r>
      <w:r>
        <w:rPr>
          <w:rFonts w:ascii="Cambria Math" w:cs="Cambria Math" w:eastAsia="Cambria Math" w:hAnsi="Cambria Math"/>
          <w:sz w:val="24"/>
          <w:szCs w:val="24"/>
          <w:vertAlign w:val="superscript"/>
        </w:rPr>
        <w:t xml:space="preserve">β₀+β₁X</w:t>
      </w:r>
      <w:r>
        <w:rPr>
          <w:rFonts w:ascii="Cambria Math" w:cs="Cambria Math" w:eastAsia="Cambria Math" w:hAnsi="Cambria Math"/>
          <w:sz w:val="24"/>
          <w:szCs w:val="24"/>
        </w:rPr>
        <w:t xml:space="preserve">.</w:t>
      </w:r>
    </w:p>
    <w:p>
      <w:pPr>
        <w:spacing w:after="120"/>
      </w:pPr>
      <w:r>
        <w:rPr>
          <w:rFonts w:ascii="Calibri" w:cs="Calibri" w:eastAsia="Calibri" w:hAnsi="Calibri"/>
          <w:sz w:val="22"/>
          <w:szCs w:val="22"/>
        </w:rPr>
        <w:t xml:space="preserve">The common factor 1 + e^(β₀+β₁X) cancels, leaving exactly (4.3). Hence the two representations are equivalent. ∎</w:t>
      </w:r>
    </w:p>
    <w:p>
      <w:pPr>
        <w:spacing w:after="120"/>
      </w:pPr>
      <w:r>
        <w:rPr>
          <w:rFonts w:ascii="Calibri" w:cs="Calibri" w:eastAsia="Calibri" w:hAnsi="Calibri"/>
          <w:sz w:val="22"/>
          <w:szCs w:val="22"/>
        </w:rPr>
        <w:t xml:space="preserve">Taking logs also gives the familiar </w:t>
      </w:r>
      <w:r>
        <w:rPr>
          <w:rFonts w:ascii="Calibri" w:cs="Calibri" w:eastAsia="Calibri" w:hAnsi="Calibri"/>
          <w:i/>
          <w:iCs/>
          <w:sz w:val="22"/>
          <w:szCs w:val="22"/>
        </w:rPr>
        <w:t xml:space="preserve">log-odds</w:t>
      </w:r>
      <w:r>
        <w:rPr>
          <w:rFonts w:ascii="Calibri" w:cs="Calibri" w:eastAsia="Calibri" w:hAnsi="Calibri"/>
          <w:sz w:val="22"/>
          <w:szCs w:val="22"/>
        </w:rPr>
        <w:t xml:space="preserve"> (logit) form, log( p(X)/[1−p(X)] ) = β₀ + β₁X, which is linear in X.</w:t>
      </w:r>
    </w:p>
    <w:p>
      <w:pPr>
        <w:pStyle w:val="Heading1"/>
        <w:spacing w:after="120" w:before="240"/>
      </w:pPr>
      <w:r>
        <w:rPr>
          <w:rFonts w:ascii="Calibri" w:cs="Calibri" w:eastAsia="Calibri" w:hAnsi="Calibri"/>
          <w:b/>
          <w:bCs/>
          <w:color w:val="1F3864"/>
          <w:sz w:val="30"/>
          <w:szCs w:val="30"/>
        </w:rPr>
        <w:t xml:space="preserve">Problem 2 — Logistic regression for grades</w:t>
      </w:r>
    </w:p>
    <w:p>
      <w:pPr>
        <w:spacing w:after="120"/>
      </w:pPr>
      <w:r>
        <w:rPr>
          <w:rFonts w:ascii="Calibri" w:cs="Calibri" w:eastAsia="Calibri" w:hAnsi="Calibri"/>
          <w:sz w:val="22"/>
          <w:szCs w:val="22"/>
        </w:rPr>
        <w:t xml:space="preserve">Fitted model: β̂₀ = −6, β̂₁ = 0.05 (hours studied X₁), β̂₂ = 1 (undergrad GPA X₂), so</w:t>
      </w:r>
    </w:p>
    <w:p>
      <w:pPr>
        <w:spacing w:after="120" w:before="80"/>
        <w:jc w:val="center"/>
      </w:pPr>
      <w:r>
        <w:rPr>
          <w:rFonts w:ascii="Cambria Math" w:cs="Cambria Math" w:eastAsia="Cambria Math" w:hAnsi="Cambria Math"/>
          <w:sz w:val="24"/>
          <w:szCs w:val="24"/>
        </w:rPr>
        <w:t xml:space="preserve">p̂(X) = e</w:t>
      </w:r>
      <w:r>
        <w:rPr>
          <w:rFonts w:ascii="Cambria Math" w:cs="Cambria Math" w:eastAsia="Cambria Math" w:hAnsi="Cambria Math"/>
          <w:sz w:val="24"/>
          <w:szCs w:val="24"/>
          <w:vertAlign w:val="superscript"/>
        </w:rPr>
        <w:t xml:space="preserve">−6 + 0.05·X₁ + X₂</w:t>
      </w:r>
      <w:r>
        <w:rPr>
          <w:rFonts w:ascii="Cambria Math" w:cs="Cambria Math" w:eastAsia="Cambria Math" w:hAnsi="Cambria Math"/>
          <w:sz w:val="24"/>
          <w:szCs w:val="24"/>
        </w:rPr>
        <w:t xml:space="preserve"> / [ 1 + e</w:t>
      </w:r>
      <w:r>
        <w:rPr>
          <w:rFonts w:ascii="Cambria Math" w:cs="Cambria Math" w:eastAsia="Cambria Math" w:hAnsi="Cambria Math"/>
          <w:sz w:val="24"/>
          <w:szCs w:val="24"/>
          <w:vertAlign w:val="superscript"/>
        </w:rPr>
        <w:t xml:space="preserve">−6 + 0.05·X₁ + X₂</w:t>
      </w:r>
      <w:r>
        <w:rPr>
          <w:rFonts w:ascii="Cambria Math" w:cs="Cambria Math" w:eastAsia="Cambria Math" w:hAnsi="Cambria Math"/>
          <w:sz w:val="24"/>
          <w:szCs w:val="24"/>
        </w:rPr>
        <w:t xml:space="preserve"> ].</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For a student with X₁ = 40 hours and X₂ = 3.5:</w:t>
      </w:r>
    </w:p>
    <w:p>
      <w:pPr>
        <w:spacing w:after="120" w:before="80"/>
        <w:jc w:val="center"/>
      </w:pPr>
      <w:r>
        <w:rPr>
          <w:rFonts w:ascii="Cambria Math" w:cs="Cambria Math" w:eastAsia="Cambria Math" w:hAnsi="Cambria Math"/>
          <w:sz w:val="24"/>
          <w:szCs w:val="24"/>
        </w:rPr>
        <w:t xml:space="preserve">logit = −6 + 0.05(40) + 1(3.5) = −6 + 2 + 3.5 = −0.5.</w:t>
      </w:r>
    </w:p>
    <w:p>
      <w:pPr>
        <w:spacing w:after="120" w:before="80"/>
        <w:jc w:val="center"/>
      </w:pPr>
      <w:r>
        <w:rPr>
          <w:rFonts w:ascii="Cambria Math" w:cs="Cambria Math" w:eastAsia="Cambria Math" w:hAnsi="Cambria Math"/>
          <w:sz w:val="24"/>
          <w:szCs w:val="24"/>
        </w:rPr>
        <w:t xml:space="preserve">p̂ = e</w:t>
      </w:r>
      <w:r>
        <w:rPr>
          <w:rFonts w:ascii="Cambria Math" w:cs="Cambria Math" w:eastAsia="Cambria Math" w:hAnsi="Cambria Math"/>
          <w:sz w:val="24"/>
          <w:szCs w:val="24"/>
          <w:vertAlign w:val="superscript"/>
        </w:rPr>
        <w:t xml:space="preserve">−0.5</w:t>
      </w:r>
      <w:r>
        <w:rPr>
          <w:rFonts w:ascii="Cambria Math" w:cs="Cambria Math" w:eastAsia="Cambria Math" w:hAnsi="Cambria Math"/>
          <w:sz w:val="24"/>
          <w:szCs w:val="24"/>
        </w:rPr>
        <w:t xml:space="preserve"> / [1 + e</w:t>
      </w:r>
      <w:r>
        <w:rPr>
          <w:rFonts w:ascii="Cambria Math" w:cs="Cambria Math" w:eastAsia="Cambria Math" w:hAnsi="Cambria Math"/>
          <w:sz w:val="24"/>
          <w:szCs w:val="24"/>
          <w:vertAlign w:val="superscript"/>
        </w:rPr>
        <w:t xml:space="preserve">−0.5</w:t>
      </w:r>
      <w:r>
        <w:rPr>
          <w:rFonts w:ascii="Cambria Math" w:cs="Cambria Math" w:eastAsia="Cambria Math" w:hAnsi="Cambria Math"/>
          <w:sz w:val="24"/>
          <w:szCs w:val="24"/>
        </w:rPr>
        <w:t xml:space="preserve">] = 0.6065 / 1.6065 ≈ 0.378.</w:t>
      </w:r>
    </w:p>
    <w:p>
      <w:pPr>
        <w:spacing w:after="120"/>
      </w:pPr>
      <w:r>
        <w:rPr>
          <w:rFonts w:ascii="Calibri" w:cs="Calibri" w:eastAsia="Calibri" w:hAnsi="Calibri"/>
          <w:sz w:val="22"/>
          <w:szCs w:val="22"/>
        </w:rPr>
        <w:t xml:space="preserve">So the estimated probability of getting an A is about </w:t>
      </w:r>
      <w:r>
        <w:rPr>
          <w:rFonts w:ascii="Calibri" w:cs="Calibri" w:eastAsia="Calibri" w:hAnsi="Calibri"/>
          <w:b/>
          <w:bCs/>
          <w:sz w:val="22"/>
          <w:szCs w:val="22"/>
        </w:rPr>
        <w:t xml:space="preserve">37.8%</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(b)  </w:t>
      </w:r>
      <w:r>
        <w:rPr>
          <w:rFonts w:ascii="Calibri" w:cs="Calibri" w:eastAsia="Calibri" w:hAnsi="Calibri"/>
          <w:sz w:val="22"/>
          <w:szCs w:val="22"/>
        </w:rPr>
        <w:t xml:space="preserve">A 50% chance means p̂ = 0.5, i.e. the log-odds equal 0:</w:t>
      </w:r>
    </w:p>
    <w:p>
      <w:pPr>
        <w:spacing w:after="120" w:before="80"/>
        <w:jc w:val="center"/>
      </w:pPr>
      <w:r>
        <w:rPr>
          <w:rFonts w:ascii="Cambria Math" w:cs="Cambria Math" w:eastAsia="Cambria Math" w:hAnsi="Cambria Math"/>
          <w:sz w:val="24"/>
          <w:szCs w:val="24"/>
        </w:rPr>
        <w:t xml:space="preserve">−6 + 0.05·X₁ + 3.5 = 0  ⟹  0.05·X₁ = 2.5  ⟹  X₁ = 50.</w:t>
      </w:r>
    </w:p>
    <w:p>
      <w:pPr>
        <w:spacing w:after="120"/>
      </w:pPr>
      <w:r>
        <w:rPr>
          <w:rFonts w:ascii="Calibri" w:cs="Calibri" w:eastAsia="Calibri" w:hAnsi="Calibri"/>
          <w:sz w:val="22"/>
          <w:szCs w:val="22"/>
        </w:rPr>
        <w:t xml:space="preserve">With a GPA of 3.5, the student would need to study </w:t>
      </w:r>
      <w:r>
        <w:rPr>
          <w:rFonts w:ascii="Calibri" w:cs="Calibri" w:eastAsia="Calibri" w:hAnsi="Calibri"/>
          <w:b/>
          <w:bCs/>
          <w:sz w:val="22"/>
          <w:szCs w:val="22"/>
        </w:rPr>
        <w:t xml:space="preserve">50 hours</w:t>
      </w:r>
      <w:r>
        <w:rPr>
          <w:rFonts w:ascii="Calibri" w:cs="Calibri" w:eastAsia="Calibri" w:hAnsi="Calibri"/>
          <w:sz w:val="22"/>
          <w:szCs w:val="22"/>
        </w:rPr>
        <w:t xml:space="preserve"> for a 50% chance of an A.</w:t>
      </w:r>
    </w:p>
    <w:p>
      <w:pPr>
        <w:pStyle w:val="Heading1"/>
        <w:spacing w:after="120" w:before="240"/>
      </w:pPr>
      <w:r>
        <w:rPr>
          <w:rFonts w:ascii="Calibri" w:cs="Calibri" w:eastAsia="Calibri" w:hAnsi="Calibri"/>
          <w:b/>
          <w:bCs/>
          <w:color w:val="1F3864"/>
          <w:sz w:val="30"/>
          <w:szCs w:val="30"/>
        </w:rPr>
        <w:t xml:space="preserve">Problem 3 — Detailed forms of aₖ, bₖⱼ, and bₖⱼₗ in (4.33)</w:t>
      </w:r>
    </w:p>
    <w:p>
      <w:pPr>
        <w:spacing w:after="120"/>
      </w:pPr>
      <w:r>
        <w:rPr>
          <w:rFonts w:ascii="Calibri" w:cs="Calibri" w:eastAsia="Calibri" w:hAnsi="Calibri"/>
          <w:sz w:val="22"/>
          <w:szCs w:val="22"/>
        </w:rPr>
        <w:t xml:space="preserve">Under QDA, </w:t>
      </w:r>
      <w:r>
        <w:rPr>
          <w:rFonts w:ascii="Cambria Math" w:cs="Cambria Math" w:eastAsia="Cambria Math" w:hAnsi="Cambria Math"/>
          <w:sz w:val="22"/>
          <w:szCs w:val="22"/>
        </w:rPr>
        <w:t xml:space="preserve">X | Y=k ~ N(μ</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w:t>
      </w:r>
      <w:r>
        <w:rPr>
          <w:rFonts w:ascii="Calibri" w:cs="Calibri" w:eastAsia="Calibri" w:hAnsi="Calibri"/>
          <w:sz w:val="22"/>
          <w:szCs w:val="22"/>
        </w:rPr>
        <w:t xml:space="preserve">, with density</w:t>
      </w:r>
    </w:p>
    <w:p>
      <w:pPr>
        <w:spacing w:after="120" w:before="80"/>
        <w:jc w:val="center"/>
      </w:pPr>
      <w:r>
        <w:rPr>
          <w:rFonts w:ascii="Cambria Math" w:cs="Cambria Math" w:eastAsia="Cambria Math" w:hAnsi="Cambria Math"/>
          <w:sz w:val="24"/>
          <w:szCs w:val="24"/>
        </w:rPr>
        <w:t xml:space="preserve">f</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(x) = (2π)</w:t>
      </w:r>
      <w:r>
        <w:rPr>
          <w:rFonts w:ascii="Cambria Math" w:cs="Cambria Math" w:eastAsia="Cambria Math" w:hAnsi="Cambria Math"/>
          <w:sz w:val="24"/>
          <w:szCs w:val="24"/>
          <w:vertAlign w:val="superscript"/>
        </w:rPr>
        <w:t xml:space="preserve">−p/2</w:t>
      </w:r>
      <w:r>
        <w:rPr>
          <w:rFonts w:ascii="Cambria Math" w:cs="Cambria Math" w:eastAsia="Cambria Math" w:hAnsi="Cambria Math"/>
          <w:sz w:val="24"/>
          <w:szCs w:val="24"/>
        </w:rPr>
        <w:t xml:space="preserve"> |Σ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perscript"/>
        </w:rPr>
        <w:t xml:space="preserve">−1/2</w:t>
      </w:r>
      <w:r>
        <w:rPr>
          <w:rFonts w:ascii="Cambria Math" w:cs="Cambria Math" w:eastAsia="Cambria Math" w:hAnsi="Cambria Math"/>
          <w:sz w:val="24"/>
          <w:szCs w:val="24"/>
        </w:rPr>
        <w:t xml:space="preserve"> exp( −½ (x−μ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 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 (x−μ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w:t>
      </w:r>
    </w:p>
    <w:p>
      <w:pPr>
        <w:spacing w:after="120"/>
      </w:pPr>
      <w:r>
        <w:rPr>
          <w:rFonts w:ascii="Calibri" w:cs="Calibri" w:eastAsia="Calibri" w:hAnsi="Calibri"/>
          <w:sz w:val="22"/>
          <w:szCs w:val="22"/>
        </w:rPr>
        <w:t xml:space="preserve">By Bayes' theorem, </w:t>
      </w:r>
      <w:r>
        <w:rPr>
          <w:rFonts w:ascii="Cambria Math" w:cs="Cambria Math" w:eastAsia="Cambria Math" w:hAnsi="Cambria Math"/>
          <w:sz w:val="22"/>
          <w:szCs w:val="22"/>
        </w:rPr>
        <w:t xml:space="preserve">Pr(Y=k | X=x) ∝ π</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f</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(x)</w:t>
      </w:r>
      <w:r>
        <w:rPr>
          <w:rFonts w:ascii="Calibri" w:cs="Calibri" w:eastAsia="Calibri" w:hAnsi="Calibri"/>
          <w:sz w:val="22"/>
          <w:szCs w:val="22"/>
        </w:rPr>
        <w:t xml:space="preserve">. Comparing class k to the baseline class K via the log-ratio:</w:t>
      </w:r>
    </w:p>
    <w:p>
      <w:pPr>
        <w:spacing w:after="120" w:before="80"/>
        <w:jc w:val="center"/>
      </w:pPr>
      <w:r>
        <w:rPr>
          <w:rFonts w:ascii="Cambria Math" w:cs="Cambria Math" w:eastAsia="Cambria Math" w:hAnsi="Cambria Math"/>
          <w:sz w:val="24"/>
          <w:szCs w:val="24"/>
        </w:rPr>
        <w:t xml:space="preserve">log[ Pr(Y=k|x) / Pr(Y=K|x) ] = log(π</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/π</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log f</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(x) − log f</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(x).</w:t>
      </w:r>
    </w:p>
    <w:p>
      <w:pPr>
        <w:spacing w:after="120"/>
      </w:pPr>
      <w:r>
        <w:rPr>
          <w:rFonts w:ascii="Calibri" w:cs="Calibri" w:eastAsia="Calibri" w:hAnsi="Calibri"/>
          <w:sz w:val="22"/>
          <w:szCs w:val="22"/>
        </w:rPr>
        <w:t xml:space="preserve">The −(p/2)·log(2π) terms cancel. Expanding each quadratic form,</w:t>
      </w:r>
    </w:p>
    <w:p>
      <w:pPr>
        <w:spacing w:after="120" w:before="80"/>
        <w:jc w:val="center"/>
      </w:pPr>
      <w:r>
        <w:rPr>
          <w:rFonts w:ascii="Cambria Math" w:cs="Cambria Math" w:eastAsia="Cambria Math" w:hAnsi="Cambria Math"/>
          <w:sz w:val="24"/>
          <w:szCs w:val="24"/>
        </w:rPr>
        <w:t xml:space="preserve">(x−μ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(x−μ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x</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x − 2μ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x + 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w:t>
      </w:r>
    </w:p>
    <w:p>
      <w:pPr>
        <w:spacing w:after="120"/>
      </w:pPr>
      <w:r>
        <w:rPr>
          <w:rFonts w:ascii="Calibri" w:cs="Calibri" w:eastAsia="Calibri" w:hAnsi="Calibri"/>
          <w:sz w:val="22"/>
          <w:szCs w:val="22"/>
        </w:rPr>
        <w:t xml:space="preserve">and collecting the constant, linear, and quadratic terms gives the form of (4.33):</w:t>
      </w:r>
    </w:p>
    <w:p>
      <w:pPr>
        <w:spacing w:after="120" w:before="80"/>
        <w:jc w:val="center"/>
      </w:pPr>
      <w:r>
        <w:rPr>
          <w:rFonts w:ascii="Cambria Math" w:cs="Cambria Math" w:eastAsia="Cambria Math" w:hAnsi="Cambria Math"/>
          <w:sz w:val="24"/>
          <w:szCs w:val="24"/>
        </w:rPr>
        <w:t xml:space="preserve">log[ Pr(Y=k|x)/Pr(Y=K|x) ] = a</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Σ</w:t>
      </w:r>
      <w:r>
        <w:rPr>
          <w:rFonts w:ascii="Cambria Math" w:cs="Cambria Math" w:eastAsia="Cambria Math" w:hAnsi="Cambria Math"/>
          <w:sz w:val="24"/>
          <w:szCs w:val="24"/>
          <w:vertAlign w:val="subscript"/>
        </w:rPr>
        <w:t xml:space="preserve">j</w:t>
      </w:r>
      <w:r>
        <w:rPr>
          <w:rFonts w:ascii="Cambria Math" w:cs="Cambria Math" w:eastAsia="Cambria Math" w:hAnsi="Cambria Math"/>
          <w:sz w:val="24"/>
          <w:szCs w:val="24"/>
        </w:rPr>
        <w:t xml:space="preserve"> b</w:t>
      </w:r>
      <w:r>
        <w:rPr>
          <w:rFonts w:ascii="Cambria Math" w:cs="Cambria Math" w:eastAsia="Cambria Math" w:hAnsi="Cambria Math"/>
          <w:sz w:val="24"/>
          <w:szCs w:val="24"/>
          <w:vertAlign w:val="subscript"/>
        </w:rPr>
        <w:t xml:space="preserve">kj</w:t>
      </w:r>
      <w:r>
        <w:rPr>
          <w:rFonts w:ascii="Cambria Math" w:cs="Cambria Math" w:eastAsia="Cambria Math" w:hAnsi="Cambria Math"/>
          <w:sz w:val="24"/>
          <w:szCs w:val="24"/>
        </w:rPr>
        <w:t xml:space="preserve"> x</w:t>
      </w:r>
      <w:r>
        <w:rPr>
          <w:rFonts w:ascii="Cambria Math" w:cs="Cambria Math" w:eastAsia="Cambria Math" w:hAnsi="Cambria Math"/>
          <w:sz w:val="24"/>
          <w:szCs w:val="24"/>
          <w:vertAlign w:val="subscript"/>
        </w:rPr>
        <w:t xml:space="preserve">j</w:t>
      </w:r>
      <w:r>
        <w:rPr>
          <w:rFonts w:ascii="Cambria Math" w:cs="Cambria Math" w:eastAsia="Cambria Math" w:hAnsi="Cambria Math"/>
          <w:sz w:val="24"/>
          <w:szCs w:val="24"/>
        </w:rPr>
        <w:t xml:space="preserve"> + Σ</w:t>
      </w:r>
      <w:r>
        <w:rPr>
          <w:rFonts w:ascii="Cambria Math" w:cs="Cambria Math" w:eastAsia="Cambria Math" w:hAnsi="Cambria Math"/>
          <w:sz w:val="24"/>
          <w:szCs w:val="24"/>
          <w:vertAlign w:val="subscript"/>
        </w:rPr>
        <w:t xml:space="preserve">j</w:t>
      </w:r>
      <w:r>
        <w:rPr>
          <w:rFonts w:ascii="Cambria Math" w:cs="Cambria Math" w:eastAsia="Cambria Math" w:hAnsi="Cambria Math"/>
          <w:sz w:val="24"/>
          <w:szCs w:val="24"/>
        </w:rPr>
        <w:t xml:space="preserve"> Σ</w:t>
      </w:r>
      <w:r>
        <w:rPr>
          <w:rFonts w:ascii="Cambria Math" w:cs="Cambria Math" w:eastAsia="Cambria Math" w:hAnsi="Cambria Math"/>
          <w:sz w:val="24"/>
          <w:szCs w:val="24"/>
          <w:vertAlign w:val="subscript"/>
        </w:rPr>
        <w:t xml:space="preserve">l</w:t>
      </w:r>
      <w:r>
        <w:rPr>
          <w:rFonts w:ascii="Cambria Math" w:cs="Cambria Math" w:eastAsia="Cambria Math" w:hAnsi="Cambria Math"/>
          <w:sz w:val="24"/>
          <w:szCs w:val="24"/>
        </w:rPr>
        <w:t xml:space="preserve"> b</w:t>
      </w:r>
      <w:r>
        <w:rPr>
          <w:rFonts w:ascii="Cambria Math" w:cs="Cambria Math" w:eastAsia="Cambria Math" w:hAnsi="Cambria Math"/>
          <w:sz w:val="24"/>
          <w:szCs w:val="24"/>
          <w:vertAlign w:val="subscript"/>
        </w:rPr>
        <w:t xml:space="preserve">kjl</w:t>
      </w:r>
      <w:r>
        <w:rPr>
          <w:rFonts w:ascii="Cambria Math" w:cs="Cambria Math" w:eastAsia="Cambria Math" w:hAnsi="Cambria Math"/>
          <w:sz w:val="24"/>
          <w:szCs w:val="24"/>
        </w:rPr>
        <w:t xml:space="preserve"> x</w:t>
      </w:r>
      <w:r>
        <w:rPr>
          <w:rFonts w:ascii="Cambria Math" w:cs="Cambria Math" w:eastAsia="Cambria Math" w:hAnsi="Cambria Math"/>
          <w:sz w:val="24"/>
          <w:szCs w:val="24"/>
          <w:vertAlign w:val="subscript"/>
        </w:rPr>
        <w:t xml:space="preserve">j</w:t>
      </w:r>
      <w:r>
        <w:rPr>
          <w:rFonts w:ascii="Cambria Math" w:cs="Cambria Math" w:eastAsia="Cambria Math" w:hAnsi="Cambria Math"/>
          <w:sz w:val="24"/>
          <w:szCs w:val="24"/>
        </w:rPr>
        <w:t xml:space="preserve"> x</w:t>
      </w:r>
      <w:r>
        <w:rPr>
          <w:rFonts w:ascii="Cambria Math" w:cs="Cambria Math" w:eastAsia="Cambria Math" w:hAnsi="Cambria Math"/>
          <w:sz w:val="24"/>
          <w:szCs w:val="24"/>
          <w:vertAlign w:val="subscript"/>
        </w:rPr>
        <w:t xml:space="preserve">l</w:t>
      </w:r>
      <w:r>
        <w:rPr>
          <w:rFonts w:ascii="Cambria Math" w:cs="Cambria Math" w:eastAsia="Cambria Math" w:hAnsi="Cambria Math"/>
          <w:sz w:val="24"/>
          <w:szCs w:val="24"/>
        </w:rPr>
        <w:t xml:space="preserve">,</w:t>
      </w:r>
    </w:p>
    <w:p>
      <w:pPr>
        <w:spacing w:after="120"/>
      </w:pPr>
      <w:r>
        <w:rPr>
          <w:rFonts w:ascii="Calibri" w:cs="Calibri" w:eastAsia="Calibri" w:hAnsi="Calibri"/>
          <w:b/>
          <w:bCs/>
          <w:sz w:val="22"/>
          <w:szCs w:val="22"/>
        </w:rPr>
        <w:t xml:space="preserve">with the coefficients:</w:t>
      </w:r>
    </w:p>
    <w:p>
      <w:pPr>
        <w:spacing w:after="120" w:before="80"/>
        <w:jc w:val="center"/>
      </w:pPr>
      <w:r>
        <w:rPr>
          <w:rFonts w:ascii="Cambria Math" w:cs="Cambria Math" w:eastAsia="Cambria Math" w:hAnsi="Cambria Math"/>
          <w:sz w:val="24"/>
          <w:szCs w:val="24"/>
        </w:rPr>
        <w:t xml:space="preserve">a</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log(π</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/π</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½ log(|Σ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½ 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½ 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T</w:t>
      </w:r>
      <w:r>
        <w:rPr>
          <w:rFonts w:ascii="Cambria Math" w:cs="Cambria Math" w:eastAsia="Cambria Math" w:hAnsi="Cambria Math"/>
          <w:sz w:val="24"/>
          <w:szCs w:val="24"/>
        </w:rPr>
        <w:t xml:space="preserve">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μ</w:t>
      </w:r>
      <w:r>
        <w:rPr>
          <w:rFonts w:ascii="Cambria Math" w:cs="Cambria Math" w:eastAsia="Cambria Math" w:hAnsi="Cambria Math"/>
          <w:sz w:val="24"/>
          <w:szCs w:val="24"/>
          <w:vertAlign w:val="subscript"/>
        </w:rPr>
        <w:t xml:space="preserve">K</w:t>
      </w:r>
    </w:p>
    <w:p>
      <w:pPr>
        <w:spacing w:after="120" w:before="80"/>
        <w:jc w:val="center"/>
      </w:pPr>
      <w:r>
        <w:rPr>
          <w:rFonts w:ascii="Cambria Math" w:cs="Cambria Math" w:eastAsia="Cambria Math" w:hAnsi="Cambria Math"/>
          <w:sz w:val="24"/>
          <w:szCs w:val="24"/>
        </w:rPr>
        <w:t xml:space="preserve">b</w:t>
      </w:r>
      <w:r>
        <w:rPr>
          <w:rFonts w:ascii="Cambria Math" w:cs="Cambria Math" w:eastAsia="Cambria Math" w:hAnsi="Cambria Math"/>
          <w:sz w:val="24"/>
          <w:szCs w:val="24"/>
          <w:vertAlign w:val="subscript"/>
        </w:rPr>
        <w:t xml:space="preserve">kj</w:t>
      </w:r>
      <w:r>
        <w:rPr>
          <w:rFonts w:ascii="Cambria Math" w:cs="Cambria Math" w:eastAsia="Cambria Math" w:hAnsi="Cambria Math"/>
          <w:sz w:val="24"/>
          <w:szCs w:val="24"/>
        </w:rPr>
        <w:t xml:space="preserve"> = ( 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 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μ</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rPr>
        <w:t xml:space="preserve"> )</w:t>
      </w:r>
      <w:r>
        <w:rPr>
          <w:rFonts w:ascii="Cambria Math" w:cs="Cambria Math" w:eastAsia="Cambria Math" w:hAnsi="Cambria Math"/>
          <w:sz w:val="24"/>
          <w:szCs w:val="24"/>
          <w:vertAlign w:val="subscript"/>
        </w:rPr>
        <w:t xml:space="preserve">j</w:t>
      </w:r>
    </w:p>
    <w:p>
      <w:pPr>
        <w:spacing w:after="120" w:before="80"/>
        <w:jc w:val="center"/>
      </w:pPr>
      <w:r>
        <w:rPr>
          <w:rFonts w:ascii="Cambria Math" w:cs="Cambria Math" w:eastAsia="Cambria Math" w:hAnsi="Cambria Math"/>
          <w:sz w:val="24"/>
          <w:szCs w:val="24"/>
        </w:rPr>
        <w:t xml:space="preserve">b</w:t>
      </w:r>
      <w:r>
        <w:rPr>
          <w:rFonts w:ascii="Cambria Math" w:cs="Cambria Math" w:eastAsia="Cambria Math" w:hAnsi="Cambria Math"/>
          <w:sz w:val="24"/>
          <w:szCs w:val="24"/>
          <w:vertAlign w:val="subscript"/>
        </w:rPr>
        <w:t xml:space="preserve">kjl</w:t>
      </w:r>
      <w:r>
        <w:rPr>
          <w:rFonts w:ascii="Cambria Math" w:cs="Cambria Math" w:eastAsia="Cambria Math" w:hAnsi="Cambria Math"/>
          <w:sz w:val="24"/>
          <w:szCs w:val="24"/>
        </w:rPr>
        <w:t xml:space="preserve"> = −½ [ (Σ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bscript"/>
        </w:rPr>
        <w:t xml:space="preserve">jl</w:t>
      </w:r>
      <w:r>
        <w:rPr>
          <w:rFonts w:ascii="Cambria Math" w:cs="Cambria Math" w:eastAsia="Cambria Math" w:hAnsi="Cambria Math"/>
          <w:sz w:val="24"/>
          <w:szCs w:val="24"/>
        </w:rPr>
        <w:t xml:space="preserve"> − (Σ</w:t>
      </w:r>
      <w:r>
        <w:rPr>
          <w:rFonts w:ascii="Cambria Math" w:cs="Cambria Math" w:eastAsia="Cambria Math" w:hAnsi="Cambria Math"/>
          <w:sz w:val="24"/>
          <w:szCs w:val="24"/>
          <w:vertAlign w:val="subscript"/>
        </w:rPr>
        <w:t xml:space="preserve">K</w:t>
      </w:r>
      <w:r>
        <w:rPr>
          <w:rFonts w:ascii="Cambria Math" w:cs="Cambria Math" w:eastAsia="Cambria Math" w:hAnsi="Cambria Math"/>
          <w:sz w:val="24"/>
          <w:szCs w:val="24"/>
          <w:vertAlign w:val="superscript"/>
        </w:rPr>
        <w:t xml:space="preserve">−1</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bscript"/>
        </w:rPr>
        <w:t xml:space="preserve">jl</w:t>
      </w:r>
      <w:r>
        <w:rPr>
          <w:rFonts w:ascii="Cambria Math" w:cs="Cambria Math" w:eastAsia="Cambria Math" w:hAnsi="Cambria Math"/>
          <w:sz w:val="24"/>
          <w:szCs w:val="24"/>
        </w:rPr>
        <w:t xml:space="preserve"> ]</w:t>
      </w:r>
    </w:p>
    <w:p>
      <w:pPr>
        <w:spacing w:after="120"/>
      </w:pPr>
      <w:r>
        <w:rPr>
          <w:rFonts w:ascii="Calibri" w:cs="Calibri" w:eastAsia="Calibri" w:hAnsi="Calibri"/>
          <w:sz w:val="22"/>
          <w:szCs w:val="22"/>
        </w:rPr>
        <w:t xml:space="preserve">where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j</w:t>
      </w:r>
      <w:r>
        <w:rPr>
          <w:rFonts w:ascii="Calibri" w:cs="Calibri" w:eastAsia="Calibri" w:hAnsi="Calibri"/>
          <w:sz w:val="22"/>
          <w:szCs w:val="22"/>
        </w:rPr>
        <w:t xml:space="preserve"> denotes the j-th entry of a vector and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jl</w:t>
      </w:r>
      <w:r>
        <w:rPr>
          <w:rFonts w:ascii="Calibri" w:cs="Calibri" w:eastAsia="Calibri" w:hAnsi="Calibri"/>
          <w:sz w:val="22"/>
          <w:szCs w:val="22"/>
        </w:rPr>
        <w:t xml:space="preserve"> the (j,l) entry of a matrix.</w:t>
      </w:r>
    </w:p>
    <w:p>
      <w:pPr>
        <w:spacing w:after="120"/>
      </w:pPr>
      <w:r>
        <w:rPr>
          <w:rFonts w:ascii="Calibri" w:cs="Calibri" w:eastAsia="Calibri" w:hAnsi="Calibri"/>
          <w:b/>
          <w:bCs/>
          <w:sz w:val="22"/>
          <w:szCs w:val="22"/>
        </w:rPr>
        <w:t xml:space="preserve">Remark.  </w:t>
      </w:r>
      <w:r>
        <w:rPr>
          <w:rFonts w:ascii="Calibri" w:cs="Calibri" w:eastAsia="Calibri" w:hAnsi="Calibri"/>
          <w:sz w:val="22"/>
          <w:szCs w:val="22"/>
        </w:rPr>
        <w:t xml:space="preserve">The quadratic coefficients </w:t>
      </w:r>
      <w:r>
        <w:rPr>
          <w:rFonts w:ascii="Cambria Math" w:cs="Cambria Math" w:eastAsia="Cambria Math" w:hAnsi="Cambria Math"/>
          <w:sz w:val="22"/>
          <w:szCs w:val="22"/>
        </w:rPr>
        <w:t xml:space="preserve">b</w:t>
      </w:r>
      <w:r>
        <w:rPr>
          <w:rFonts w:ascii="Cambria Math" w:cs="Cambria Math" w:eastAsia="Cambria Math" w:hAnsi="Cambria Math"/>
          <w:sz w:val="22"/>
          <w:szCs w:val="22"/>
          <w:vertAlign w:val="subscript"/>
        </w:rPr>
        <w:t xml:space="preserve">kjl</w:t>
      </w:r>
      <w:r>
        <w:rPr>
          <w:rFonts w:ascii="Calibri" w:cs="Calibri" w:eastAsia="Calibri" w:hAnsi="Calibri"/>
          <w:sz w:val="22"/>
          <w:szCs w:val="22"/>
        </w:rPr>
        <w:t xml:space="preserve"> are nonzero because </w:t>
      </w: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k</w:t>
      </w:r>
      <w:r>
        <w:rPr>
          <w:rFonts w:ascii="Calibri" w:cs="Calibri" w:eastAsia="Calibri" w:hAnsi="Calibri"/>
          <w:sz w:val="22"/>
          <w:szCs w:val="22"/>
        </w:rPr>
        <w:t xml:space="preserve"> differs across classes — this is what makes the QDA decision boundary quadratic. If all classes share a common covariance (</w:t>
      </w: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k</w:t>
      </w:r>
      <w:r>
        <w:rPr>
          <w:rFonts w:ascii="Calibri" w:cs="Calibri" w:eastAsia="Calibri" w:hAnsi="Calibri"/>
          <w:sz w:val="22"/>
          <w:szCs w:val="22"/>
        </w:rPr>
        <w:t xml:space="preserve"> = Σ for every k), then </w:t>
      </w: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vertAlign w:val="superscript"/>
        </w:rPr>
        <w:t xml:space="preserve">−1</w:t>
      </w:r>
      <w:r>
        <w:rPr>
          <w:rFonts w:ascii="Cambria Math" w:cs="Cambria Math" w:eastAsia="Cambria Math" w:hAnsi="Cambria Math"/>
          <w:sz w:val="22"/>
          <w:szCs w:val="22"/>
        </w:rPr>
        <w:t xml:space="preserve"> − Σ</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vertAlign w:val="superscript"/>
        </w:rPr>
        <w:t xml:space="preserve">−1</w:t>
      </w:r>
      <w:r>
        <w:rPr>
          <w:rFonts w:ascii="Cambria Math" w:cs="Cambria Math" w:eastAsia="Cambria Math" w:hAnsi="Cambria Math"/>
          <w:sz w:val="22"/>
          <w:szCs w:val="22"/>
        </w:rPr>
        <w:t xml:space="preserve"> = 0</w:t>
      </w:r>
      <w:r>
        <w:rPr>
          <w:rFonts w:ascii="Calibri" w:cs="Calibri" w:eastAsia="Calibri" w:hAnsi="Calibri"/>
          <w:sz w:val="22"/>
          <w:szCs w:val="22"/>
        </w:rPr>
        <w:t xml:space="preserve">, so every </w:t>
      </w:r>
      <w:r>
        <w:rPr>
          <w:rFonts w:ascii="Cambria Math" w:cs="Cambria Math" w:eastAsia="Cambria Math" w:hAnsi="Cambria Math"/>
          <w:sz w:val="22"/>
          <w:szCs w:val="22"/>
        </w:rPr>
        <w:t xml:space="preserve">b</w:t>
      </w:r>
      <w:r>
        <w:rPr>
          <w:rFonts w:ascii="Cambria Math" w:cs="Cambria Math" w:eastAsia="Cambria Math" w:hAnsi="Cambria Math"/>
          <w:sz w:val="22"/>
          <w:szCs w:val="22"/>
          <w:vertAlign w:val="subscript"/>
        </w:rPr>
        <w:t xml:space="preserve">kjl</w:t>
      </w:r>
      <w:r>
        <w:rPr>
          <w:rFonts w:ascii="Calibri" w:cs="Calibri" w:eastAsia="Calibri" w:hAnsi="Calibri"/>
          <w:sz w:val="22"/>
          <w:szCs w:val="22"/>
        </w:rPr>
        <w:t xml:space="preserve"> = 0 and the expression collapses to the linear LDA discriminant.</w:t>
      </w:r>
    </w:p>
    <w:p>
      <w:r>
        <w:br w:type="page"/>
      </w:r>
    </w:p>
    <w:p>
      <w:pPr>
        <w:pStyle w:val="Heading1"/>
        <w:spacing w:after="120" w:before="240"/>
      </w:pPr>
      <w:r>
        <w:rPr>
          <w:rFonts w:ascii="Calibri" w:cs="Calibri" w:eastAsia="Calibri" w:hAnsi="Calibri"/>
          <w:b/>
          <w:bCs/>
          <w:color w:val="1F3864"/>
          <w:sz w:val="30"/>
          <w:szCs w:val="30"/>
        </w:rPr>
        <w:t xml:space="preserve">Problem 4 — Predicting gas mileage on the Auto data</w:t>
      </w:r>
    </w:p>
    <w:p>
      <w:pPr>
        <w:spacing w:after="120"/>
      </w:pPr>
      <w:r>
        <w:rPr>
          <w:rFonts w:ascii="Calibri" w:cs="Calibri" w:eastAsia="Calibri" w:hAnsi="Calibri"/>
          <w:b/>
          <w:bCs/>
          <w:sz w:val="22"/>
          <w:szCs w:val="22"/>
        </w:rPr>
        <w:t xml:space="preserve">(a)  Create the binary response mpg01.</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library(ISLR2); library(MASS); library(e1071); library(class)</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attach(Auto)</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mpg01 &lt;- ifelse(mpg &gt; median(mpg), 1, 0)</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Auto  &lt;- data.frame(Auto, mpg01)</w:t>
            </w:r>
          </w:p>
        </w:tc>
      </w:tr>
    </w:tbl>
    <w:p>
      <w:pPr>
        <w:spacing w:after="120" w:before="120"/>
      </w:pPr>
      <w:r>
        <w:rPr>
          <w:rFonts w:ascii="Calibri" w:cs="Calibri" w:eastAsia="Calibri" w:hAnsi="Calibri"/>
          <w:sz w:val="22"/>
          <w:szCs w:val="22"/>
        </w:rPr>
        <w:t xml:space="preserve">The median mpg is 22.75, giving a perfectly balanced response (196 in each class).</w:t>
      </w:r>
    </w:p>
    <w:p>
      <w:pPr>
        <w:spacing w:after="120"/>
      </w:pPr>
      <w:r>
        <w:rPr>
          <w:rFonts w:ascii="Calibri" w:cs="Calibri" w:eastAsia="Calibri" w:hAnsi="Calibri"/>
          <w:b/>
          <w:bCs/>
          <w:sz w:val="22"/>
          <w:szCs w:val="22"/>
        </w:rPr>
        <w:t xml:space="preserve">(b)  Explore associations.</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cor(subset(Auto, select = -name))          # correlations with mpg01</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par(mfrow = c(2,3))</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for (v in c("cylinders","displacement","horsepower",</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"weight","acceleration","year"))</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boxplot(Auto[[v]] ~ mpg01, main = v, xlab = "mpg01")</w:t>
            </w:r>
          </w:p>
        </w:tc>
      </w:tr>
    </w:tbl>
    <w:p>
      <w:pPr>
        <w:spacing w:before="120"/>
      </w:pPr>
      <w:r>
        <w:rPr>
          <w:rFonts w:ascii="Calibri" w:cs="Calibri" w:eastAsia="Calibri" w:hAnsi="Calibri"/>
          <w:sz w:val="22"/>
          <w:szCs w:val="22"/>
        </w:rPr>
        <w:t xml:space="preserve">Correlations of each feature with mpg01:</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400"/>
        <w:gridCol w:w="1140"/>
        <w:gridCol w:w="1140"/>
        <w:gridCol w:w="1140"/>
        <w:gridCol w:w="1140"/>
        <w:gridCol w:w="1140"/>
        <w:gridCol w:w="1140"/>
        <w:gridCol w:w="1120"/>
      </w:tblGrid>
      <w:tr>
        <w:trPr>
          <w:tblHeader/>
        </w:trPr>
        <w:tc>
          <w:tcPr>
            <w:tcW w:type="dxa" w:w="14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Feature</w:t>
            </w:r>
          </w:p>
        </w:tc>
        <w:tc>
          <w:tcPr>
            <w:tcW w:type="dxa" w:w="114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cylinders</w:t>
            </w:r>
          </w:p>
        </w:tc>
        <w:tc>
          <w:tcPr>
            <w:tcW w:type="dxa" w:w="114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weight</w:t>
            </w:r>
          </w:p>
        </w:tc>
        <w:tc>
          <w:tcPr>
            <w:tcW w:type="dxa" w:w="114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displ.</w:t>
            </w:r>
          </w:p>
        </w:tc>
        <w:tc>
          <w:tcPr>
            <w:tcW w:type="dxa" w:w="114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horsep.</w:t>
            </w:r>
          </w:p>
        </w:tc>
        <w:tc>
          <w:tcPr>
            <w:tcW w:type="dxa" w:w="114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origin</w:t>
            </w:r>
          </w:p>
        </w:tc>
        <w:tc>
          <w:tcPr>
            <w:tcW w:type="dxa" w:w="114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year</w:t>
            </w:r>
          </w:p>
        </w:tc>
        <w:tc>
          <w:tcPr>
            <w:tcW w:type="dxa" w:w="112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accel.</w:t>
            </w:r>
          </w:p>
        </w:tc>
      </w:tr>
      <w:tr>
        <w:tc>
          <w:tcPr>
            <w:tcW w:type="dxa" w:w="14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corr</w:t>
            </w:r>
          </w:p>
        </w:tc>
        <w:tc>
          <w:tcPr>
            <w:tcW w:type="dxa" w:w="114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−0.759</w:t>
            </w:r>
          </w:p>
        </w:tc>
        <w:tc>
          <w:tcPr>
            <w:tcW w:type="dxa" w:w="114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−0.758</w:t>
            </w:r>
          </w:p>
        </w:tc>
        <w:tc>
          <w:tcPr>
            <w:tcW w:type="dxa" w:w="114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−0.753</w:t>
            </w:r>
          </w:p>
        </w:tc>
        <w:tc>
          <w:tcPr>
            <w:tcW w:type="dxa" w:w="114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−0.667</w:t>
            </w:r>
          </w:p>
        </w:tc>
        <w:tc>
          <w:tcPr>
            <w:tcW w:type="dxa" w:w="114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0.514</w:t>
            </w:r>
          </w:p>
        </w:tc>
        <w:tc>
          <w:tcPr>
            <w:tcW w:type="dxa" w:w="114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0.430</w:t>
            </w:r>
          </w:p>
        </w:tc>
        <w:tc>
          <w:tcPr>
            <w:tcW w:type="dxa" w:w="112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0.347</w:t>
            </w:r>
          </w:p>
        </w:tc>
      </w:tr>
    </w:tbl>
    <w:p>
      <w:pPr>
        <w:spacing w:after="120" w:before="16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33625"/>
                    </a:xfrm>
                    <a:prstGeom prst="rect">
                      <a:avLst/>
                    </a:prstGeom>
                  </pic:spPr>
                </pic:pic>
              </a:graphicData>
            </a:graphic>
          </wp:inline>
        </w:drawing>
      </w:r>
    </w:p>
    <w:p>
      <w:pPr>
        <w:spacing w:after="120"/>
      </w:pPr>
      <w:r>
        <w:rPr>
          <w:rFonts w:ascii="Calibri" w:cs="Calibri" w:eastAsia="Calibri" w:hAnsi="Calibri"/>
          <w:b/>
          <w:bCs/>
          <w:sz w:val="22"/>
          <w:szCs w:val="22"/>
        </w:rPr>
        <w:t xml:space="preserve">Findings.  </w:t>
      </w:r>
      <w:r>
        <w:rPr>
          <w:rFonts w:ascii="Calibri" w:cs="Calibri" w:eastAsia="Calibri" w:hAnsi="Calibri"/>
          <w:sz w:val="22"/>
          <w:szCs w:val="22"/>
        </w:rPr>
        <w:t xml:space="preserve">cylinders, weight, displacement, and horsepower are all strongly negatively associated with mpg01: high-mileage cars tend to have fewer cylinders and lower engine displacement, horsepower, and weight, and their boxplots show clear separation between the two classes with little overlap. acceleration, year, and origin are more weakly associated and overlap substantially. We therefore use the four strong predictors — </w:t>
      </w:r>
      <w:r>
        <w:rPr>
          <w:rFonts w:ascii="Calibri" w:cs="Calibri" w:eastAsia="Calibri" w:hAnsi="Calibri"/>
          <w:b/>
          <w:bCs/>
          <w:sz w:val="22"/>
          <w:szCs w:val="22"/>
        </w:rPr>
        <w:t xml:space="preserve">cylinders, displacement, horsepower, weight</w:t>
      </w:r>
      <w:r>
        <w:rPr>
          <w:rFonts w:ascii="Calibri" w:cs="Calibri" w:eastAsia="Calibri" w:hAnsi="Calibri"/>
          <w:sz w:val="22"/>
          <w:szCs w:val="22"/>
        </w:rPr>
        <w:t xml:space="preserve"> — in the models below.</w:t>
      </w:r>
    </w:p>
    <w:p>
      <w:pPr>
        <w:spacing w:after="120"/>
      </w:pPr>
      <w:r>
        <w:rPr>
          <w:rFonts w:ascii="Calibri" w:cs="Calibri" w:eastAsia="Calibri" w:hAnsi="Calibri"/>
          <w:b/>
          <w:bCs/>
          <w:sz w:val="22"/>
          <w:szCs w:val="22"/>
        </w:rPr>
        <w:t xml:space="preserve">(c)  Train/test split </w:t>
      </w:r>
      <w:r>
        <w:rPr>
          <w:rFonts w:ascii="Calibri" w:cs="Calibri" w:eastAsia="Calibri" w:hAnsi="Calibri"/>
          <w:sz w:val="22"/>
          <w:szCs w:val="22"/>
        </w:rPr>
        <w:t xml:space="preserve">(70%/30%, stratified, seed 1).</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set.seed(1)</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train      &lt;- sample(nrow(Auto), 0.7 * nrow(Auto))</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Auto.train &lt;- Auto[train, ]; Auto.test &lt;- Auto[-train, ]</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mpg01.test &lt;- Auto.test$mpg01</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f &lt;- mpg01 ~ cylinders + displacement + horsepower + weight</w:t>
            </w:r>
          </w:p>
        </w:tc>
      </w:tr>
    </w:tbl>
    <w:p>
      <w:pPr>
        <w:spacing w:after="120" w:before="120"/>
      </w:pPr>
      <w:r>
        <w:rPr>
          <w:rFonts w:ascii="Calibri" w:cs="Calibri" w:eastAsia="Calibri" w:hAnsi="Calibri"/>
          <w:sz w:val="22"/>
          <w:szCs w:val="22"/>
        </w:rPr>
        <w:t xml:space="preserve">This yields 274 training and 118 test observations.</w:t>
      </w:r>
    </w:p>
    <w:p>
      <w:pPr>
        <w:spacing w:after="120"/>
      </w:pPr>
      <w:r>
        <w:rPr>
          <w:rFonts w:ascii="Calibri" w:cs="Calibri" w:eastAsia="Calibri" w:hAnsi="Calibri"/>
          <w:b/>
          <w:bCs/>
          <w:sz w:val="22"/>
          <w:szCs w:val="22"/>
        </w:rPr>
        <w:t xml:space="preserve">(d)  LDA.</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lda.fit  &lt;- lda(f, data = Auto.train)</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lda.pred &lt;- predict(lda.fit, Auto.test)$class</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mean(lda.pred != mpg01.test)       # test error</w:t>
            </w:r>
          </w:p>
        </w:tc>
      </w:tr>
    </w:tbl>
    <w:p>
      <w:pPr>
        <w:spacing w:after="120" w:before="100"/>
      </w:pPr>
      <w:r>
        <w:rPr>
          <w:rFonts w:ascii="Calibri" w:cs="Calibri" w:eastAsia="Calibri" w:hAnsi="Calibri"/>
          <w:i/>
          <w:iCs/>
          <w:sz w:val="22"/>
          <w:szCs w:val="22"/>
        </w:rPr>
        <w:t xml:space="preserve">Test error ≈ 10.2%.</w:t>
      </w:r>
    </w:p>
    <w:p>
      <w:pPr>
        <w:spacing w:after="120"/>
      </w:pPr>
      <w:r>
        <w:rPr>
          <w:rFonts w:ascii="Calibri" w:cs="Calibri" w:eastAsia="Calibri" w:hAnsi="Calibri"/>
          <w:b/>
          <w:bCs/>
          <w:sz w:val="22"/>
          <w:szCs w:val="22"/>
        </w:rPr>
        <w:t xml:space="preserve">(e)  QDA.</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qda.fit  &lt;- qda(f, data = Auto.train)</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qda.pred &lt;- predict(qda.fit, Auto.test)$class</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mean(qda.pred != mpg01.test)</w:t>
            </w:r>
          </w:p>
        </w:tc>
      </w:tr>
    </w:tbl>
    <w:p>
      <w:pPr>
        <w:spacing w:after="120" w:before="100"/>
      </w:pPr>
      <w:r>
        <w:rPr>
          <w:rFonts w:ascii="Calibri" w:cs="Calibri" w:eastAsia="Calibri" w:hAnsi="Calibri"/>
          <w:i/>
          <w:iCs/>
          <w:sz w:val="22"/>
          <w:szCs w:val="22"/>
        </w:rPr>
        <w:t xml:space="preserve">Test error ≈ 11.0%.</w:t>
      </w:r>
    </w:p>
    <w:p>
      <w:pPr>
        <w:spacing w:after="120"/>
      </w:pPr>
      <w:r>
        <w:rPr>
          <w:rFonts w:ascii="Calibri" w:cs="Calibri" w:eastAsia="Calibri" w:hAnsi="Calibri"/>
          <w:b/>
          <w:bCs/>
          <w:sz w:val="22"/>
          <w:szCs w:val="22"/>
        </w:rPr>
        <w:t xml:space="preserve">(f)  Logistic regression.</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glm.fit  &lt;- glm(f, data = Auto.train, family = binomial)</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glm.prob &lt;- predict(glm.fit, Auto.test, type = "response")</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glm.pred &lt;- ifelse(glm.prob &gt; 0.5, 1, 0)</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mean(glm.pred != mpg01.test)</w:t>
            </w:r>
          </w:p>
        </w:tc>
      </w:tr>
    </w:tbl>
    <w:p>
      <w:pPr>
        <w:spacing w:after="120" w:before="100"/>
      </w:pPr>
      <w:r>
        <w:rPr>
          <w:rFonts w:ascii="Calibri" w:cs="Calibri" w:eastAsia="Calibri" w:hAnsi="Calibri"/>
          <w:i/>
          <w:iCs/>
          <w:sz w:val="22"/>
          <w:szCs w:val="22"/>
        </w:rPr>
        <w:t xml:space="preserve">Test error ≈ 11.0%.</w:t>
      </w:r>
    </w:p>
    <w:p>
      <w:pPr>
        <w:spacing w:after="120"/>
      </w:pPr>
      <w:r>
        <w:rPr>
          <w:rFonts w:ascii="Calibri" w:cs="Calibri" w:eastAsia="Calibri" w:hAnsi="Calibri"/>
          <w:b/>
          <w:bCs/>
          <w:sz w:val="22"/>
          <w:szCs w:val="22"/>
        </w:rPr>
        <w:t xml:space="preserve">(g)  Naive Bayes.</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nb.fit  &lt;- naiveBayes(f, data = Auto.train)</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nb.pred &lt;- predict(nb.fit, Auto.test)</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mean(nb.pred != mpg01.test)</w:t>
            </w:r>
          </w:p>
        </w:tc>
      </w:tr>
    </w:tbl>
    <w:p>
      <w:pPr>
        <w:spacing w:after="120" w:before="100"/>
      </w:pPr>
      <w:r>
        <w:rPr>
          <w:rFonts w:ascii="Calibri" w:cs="Calibri" w:eastAsia="Calibri" w:hAnsi="Calibri"/>
          <w:i/>
          <w:iCs/>
          <w:sz w:val="22"/>
          <w:szCs w:val="22"/>
        </w:rPr>
        <w:t xml:space="preserve">Test error ≈ 11.0%.</w:t>
      </w:r>
    </w:p>
    <w:p>
      <w:pPr>
        <w:spacing w:after="120"/>
      </w:pPr>
      <w:r>
        <w:rPr>
          <w:rFonts w:ascii="Calibri" w:cs="Calibri" w:eastAsia="Calibri" w:hAnsi="Calibri"/>
          <w:b/>
          <w:bCs/>
          <w:sz w:val="22"/>
          <w:szCs w:val="22"/>
        </w:rPr>
        <w:t xml:space="preserve">(h)  KNN </w:t>
      </w:r>
      <w:r>
        <w:rPr>
          <w:rFonts w:ascii="Calibri" w:cs="Calibri" w:eastAsia="Calibri" w:hAnsi="Calibri"/>
          <w:sz w:val="22"/>
          <w:szCs w:val="22"/>
        </w:rPr>
        <w:t xml:space="preserve">(predictors standardized; several values of K).</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vars    &lt;- c("cylinders","displacement","horsepower","weight")</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train.X &lt;- scale(Auto.train[, vars])</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test.X  &lt;- scale(Auto.test[, vars],</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center = attr(train.X, "scaled:center"),</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scale  = attr(train.X, "scaled:scale"))</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train.Y &lt;- Auto.train$mpg01</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for (k in c(1,3,5,10,15,20,50,100)) {</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set.seed(1)</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pred &lt;- knn(train.X, test.X, train.Y, k = k)</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  cat("K =", k, " test error =", mean(pred != mpg01.test), "\n")</w:t>
            </w:r>
          </w:p>
        </w:tc>
      </w:tr>
      <w:tr>
        <w:tc>
          <w:tcPr>
            <w:tcW w:type="dxa" w:w="9360"/>
            <w:tcBorders>
              <w:top w:val="none" w:color="auto" w:sz="0"/>
              <w:left w:val="none" w:color="auto" w:sz="0"/>
              <w:bottom w:val="none" w:color="auto" w:sz="0"/>
              <w:right w:val="none" w:color="auto" w:sz="0"/>
            </w:tcBorders>
            <w:shd w:fill="F2F2F2" w:color="auto" w:val="clear"/>
            <w:tcMar>
              <w:top w:type="dxa" w:w="20"/>
              <w:left w:type="dxa" w:w="120"/>
              <w:bottom w:type="dxa" w:w="20"/>
              <w:right w:type="dxa" w:w="120"/>
            </w:tcMar>
          </w:tcPr>
          <w:p>
            <w:pPr>
              <w:spacing w:after="0"/>
            </w:pPr>
            <w:r>
              <w:rPr>
                <w:rFonts w:ascii="Consolas" w:cs="Consolas" w:eastAsia="Consolas" w:hAnsi="Consolas"/>
                <w:sz w:val="18"/>
                <w:szCs w:val="18"/>
              </w:rPr>
              <w:t xml:space="preserve">}</w:t>
            </w:r>
          </w:p>
        </w:tc>
      </w:tr>
    </w:tbl>
    <w:p>
      <w:pPr>
        <w:spacing w:after="60" w:before="60"/>
      </w:pPr>
      <w:r>
        <w:rPr>
          <w:rFonts w:ascii="Calibri" w:cs="Calibri" w:eastAsia="Calibri" w:hAnsi="Calibri"/>
          <w:sz w:val="22"/>
          <w:szCs w:val="22"/>
        </w:rPr>
        <w:t xml:space="preserve"/>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400"/>
        <w:gridCol w:w="1000"/>
        <w:gridCol w:w="1000"/>
        <w:gridCol w:w="1000"/>
        <w:gridCol w:w="1000"/>
        <w:gridCol w:w="1000"/>
        <w:gridCol w:w="1000"/>
        <w:gridCol w:w="1000"/>
        <w:gridCol w:w="960"/>
      </w:tblGrid>
      <w:tr>
        <w:trPr>
          <w:tblHeader/>
        </w:trPr>
        <w:tc>
          <w:tcPr>
            <w:tcW w:type="dxa" w:w="14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K</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1</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3</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5</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10</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15</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20</w:t>
            </w:r>
          </w:p>
        </w:tc>
        <w:tc>
          <w:tcPr>
            <w:tcW w:type="dxa" w:w="100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50</w:t>
            </w:r>
          </w:p>
        </w:tc>
        <w:tc>
          <w:tcPr>
            <w:tcW w:type="dxa" w:w="96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100</w:t>
            </w:r>
          </w:p>
        </w:tc>
      </w:tr>
      <w:tr>
        <w:tc>
          <w:tcPr>
            <w:tcW w:type="dxa" w:w="14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test error</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9.3%</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9.3%</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c>
          <w:tcPr>
            <w:tcW w:type="dxa" w:w="100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c>
          <w:tcPr>
            <w:tcW w:type="dxa" w:w="96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r>
    </w:tbl>
    <w:p>
      <w:pPr>
        <w:spacing w:before="120"/>
      </w:pPr>
      <w:r>
        <w:rPr>
          <w:rFonts w:ascii="Calibri" w:cs="Calibri" w:eastAsia="Calibri" w:hAnsi="Calibri"/>
          <w:sz w:val="22"/>
          <w:szCs w:val="22"/>
        </w:rPr>
        <w:t xml:space="preserve">The best KNN performance (≈ 9.3%) occurs at small K (K = 1 or 5); performance is stable and slightly worse for larger K.</w:t>
      </w:r>
    </w:p>
    <w:p>
      <w:pPr>
        <w:pStyle w:val="Heading1"/>
        <w:spacing w:after="120" w:before="240"/>
      </w:pPr>
      <w:r>
        <w:rPr>
          <w:rFonts w:ascii="Calibri" w:cs="Calibri" w:eastAsia="Calibri" w:hAnsi="Calibri"/>
          <w:b/>
          <w:bCs/>
          <w:color w:val="1F3864"/>
          <w:sz w:val="30"/>
          <w:szCs w:val="30"/>
        </w:rPr>
        <w:t xml:space="preserve">Summary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680"/>
        <w:gridCol w:w="4680"/>
      </w:tblGrid>
      <w:tr>
        <w:trPr>
          <w:tblHeader/>
        </w:trPr>
        <w:tc>
          <w:tcPr>
            <w:tcW w:type="dxa" w:w="468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Method</w:t>
            </w:r>
          </w:p>
        </w:tc>
        <w:tc>
          <w:tcPr>
            <w:tcW w:type="dxa" w:w="4680"/>
            <w:shd w:fill="1F3864" w:color="auto" w:val="clear"/>
            <w:tcMar>
              <w:top w:type="dxa" w:w="40"/>
              <w:left w:type="dxa" w:w="80"/>
              <w:bottom w:type="dxa" w:w="40"/>
              <w:right w:type="dxa" w:w="80"/>
            </w:tcMar>
          </w:tcPr>
          <w:p>
            <w:pPr>
              <w:spacing w:after="0"/>
              <w:jc w:val="center"/>
            </w:pPr>
            <w:r>
              <w:rPr>
                <w:rFonts w:ascii="Calibri" w:cs="Calibri" w:eastAsia="Calibri" w:hAnsi="Calibri"/>
                <w:b/>
                <w:bCs/>
                <w:color w:val="FFFFFF"/>
                <w:sz w:val="20"/>
                <w:szCs w:val="20"/>
              </w:rPr>
              <w:t xml:space="preserve">Test error</w:t>
            </w:r>
          </w:p>
        </w:tc>
      </w:tr>
      <w:tr>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LDA</w:t>
            </w:r>
          </w:p>
        </w:tc>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10.2%</w:t>
            </w:r>
          </w:p>
        </w:tc>
      </w:tr>
      <w:tr>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QDA</w:t>
            </w:r>
          </w:p>
        </w:tc>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r>
      <w:tr>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Logistic regression</w:t>
            </w:r>
          </w:p>
        </w:tc>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r>
      <w:tr>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Naive Bayes</w:t>
            </w:r>
          </w:p>
        </w:tc>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11.0%</w:t>
            </w:r>
          </w:p>
        </w:tc>
      </w:tr>
      <w:tr>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KNN (best, K = 1 or 5)</w:t>
            </w:r>
          </w:p>
        </w:tc>
        <w:tc>
          <w:tcPr>
            <w:tcW w:type="dxa" w:w="4680"/>
            <w:shd w:fill="FFFFFF" w:color="auto" w:val="clear"/>
            <w:tcMar>
              <w:top w:type="dxa" w:w="40"/>
              <w:left w:type="dxa" w:w="80"/>
              <w:bottom w:type="dxa" w:w="40"/>
              <w:right w:type="dxa" w:w="80"/>
            </w:tcMar>
          </w:tcPr>
          <w:p>
            <w:pPr>
              <w:spacing w:after="0"/>
              <w:jc w:val="center"/>
            </w:pPr>
            <w:r>
              <w:rPr>
                <w:rFonts w:ascii="Calibri" w:cs="Calibri" w:eastAsia="Calibri" w:hAnsi="Calibri"/>
                <w:b w:val="false"/>
                <w:bCs w:val="false"/>
                <w:color w:val="000000"/>
                <w:sz w:val="20"/>
                <w:szCs w:val="20"/>
              </w:rPr>
              <w:t xml:space="preserve">9.3%</w:t>
            </w:r>
          </w:p>
        </w:tc>
      </w:tr>
    </w:tbl>
    <w:p>
      <w:pPr>
        <w:spacing w:before="160"/>
      </w:pPr>
      <w:r>
        <w:rPr>
          <w:rFonts w:ascii="Calibri" w:cs="Calibri" w:eastAsia="Calibri" w:hAnsi="Calibri"/>
          <w:sz w:val="22"/>
          <w:szCs w:val="22"/>
        </w:rPr>
        <w:t xml:space="preserve">All five methods perform similarly, with test errors clustered around 9–11%; KNN at small K and LDA are marginally best. The strong, roughly linear separation provided by cylinders, displacement, horsepower, and weight explains why even simple linear methods do well.</w:t>
      </w:r>
    </w:p>
    <w:p>
      <w:pPr>
        <w:spacing w:before="120"/>
      </w:pPr>
      <w:r>
        <w:rPr>
          <w:rFonts w:ascii="Calibri" w:cs="Calibri" w:eastAsia="Calibri" w:hAnsi="Calibri"/>
          <w:i/>
          <w:iCs/>
          <w:sz w:val="18"/>
          <w:szCs w:val="18"/>
        </w:rPr>
        <w:t xml:space="preserve">Note. The reported test errors come from a 70/30 stratified split (set.seed(1)). Exact figures depend on the particular split and the random-number generator, so your numbers may differ by a point or two, but the ranking and overall ~10% error level are robust.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2adb3dafc030659856464890bbdb4b69ea48d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2026-08-25T12:52:41.761Z</dcterms:created>
  <dcterms:modified xsi:type="dcterms:W3CDTF">2026-08-25T12:52:41.762Z</dcterms:modified>
</cp:coreProperties>
</file>

<file path=docProps/custom.xml><?xml version="1.0" encoding="utf-8"?>
<Properties xmlns="http://schemas.openxmlformats.org/officeDocument/2006/custom-properties" xmlns:vt="http://schemas.openxmlformats.org/officeDocument/2006/docPropsVTypes"/>
</file>