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60727A"/>
          <w:sz w:val="16"/>
        </w:rPr>
        <w:t>CORPORATE WELLNESS · LAGOS</w:t>
        <w:br/>
        <w:t>DISCUSSION OUTLINE FOR HR REVIEW</w:t>
      </w:r>
    </w:p>
    <w:p>
      <w:pPr>
        <w:spacing w:after="0"/>
        <w:jc w:val="center"/>
      </w:pPr>
      <w:r>
        <w:rPr>
          <w:b/>
          <w:color w:val="063B4F"/>
          <w:sz w:val="52"/>
        </w:rPr>
        <w:t>INTRO TO WATER</w:t>
      </w:r>
    </w:p>
    <w:p>
      <w:pPr>
        <w:spacing w:after="40"/>
        <w:jc w:val="center"/>
      </w:pPr>
      <w:r>
        <w:rPr>
          <w:b/>
          <w:sz w:val="24"/>
        </w:rPr>
        <w:t>A low-friction employee wellness pilot</w:t>
      </w:r>
    </w:p>
    <w:p>
      <w:pPr>
        <w:spacing w:after="40"/>
        <w:jc w:val="center"/>
      </w:pPr>
      <w:r>
        <w:rPr>
          <w:sz w:val="16"/>
        </w:rPr>
        <w:t>A company-sponsored first experience that lets employees try swimming safely before HR or staff commit to a longer programme.</w:t>
      </w:r>
    </w:p>
    <w:p>
      <w:pPr>
        <w:spacing w:after="120"/>
        <w:jc w:val="center"/>
      </w:pPr>
      <w:r>
        <w:rPr>
          <w:color w:val="60727A"/>
          <w:sz w:val="16"/>
        </w:rPr>
        <w:t>Built to answer two practical HR questions: will employees participate, and will the experience visibly support their wellbeing?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835" w:hRule="atLeast"/>
        </w:trPr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BFEFF2"/>
          </w:tcPr>
          <w:p>
            <w:pPr>
              <w:jc w:val="center"/>
            </w:pPr>
            <w:r/>
            <w:r>
              <w:rPr>
                <w:b/>
                <w:color w:val="063B4F"/>
                <w:sz w:val="18"/>
              </w:rPr>
              <w:t>8-10 employees</w:t>
              <w:br/>
            </w:r>
            <w:r>
              <w:rPr>
                <w:sz w:val="14"/>
              </w:rPr>
              <w:t>Suggested first group; adjusted to venue and coach coverage.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BFEFF2"/>
          </w:tcPr>
          <w:p>
            <w:pPr>
              <w:jc w:val="center"/>
            </w:pPr>
            <w:r/>
            <w:r>
              <w:rPr>
                <w:b/>
                <w:color w:val="063B4F"/>
                <w:sz w:val="18"/>
              </w:rPr>
              <w:t>2 hours</w:t>
              <w:br/>
            </w:r>
            <w:r>
              <w:rPr>
                <w:sz w:val="14"/>
              </w:rPr>
              <w:t>Guided, beginner-friendly water-confidence experience.</w:t>
            </w:r>
          </w:p>
        </w:tc>
      </w:tr>
      <w:tr>
        <w:trPr>
          <w:trHeight w:val="835" w:hRule="atLeast"/>
        </w:trPr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BFEFF2"/>
          </w:tcPr>
          <w:p>
            <w:pPr>
              <w:jc w:val="center"/>
            </w:pPr>
            <w:r/>
            <w:r>
              <w:rPr>
                <w:b/>
                <w:color w:val="063B4F"/>
                <w:sz w:val="18"/>
              </w:rPr>
              <w:t>Saturday morning</w:t>
              <w:br/>
            </w:r>
            <w:r>
              <w:rPr>
                <w:sz w:val="14"/>
              </w:rPr>
              <w:t>Low disruption to the working week.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BFEFF2"/>
          </w:tcPr>
          <w:p>
            <w:pPr>
              <w:jc w:val="center"/>
            </w:pPr>
            <w:r/>
            <w:r>
              <w:rPr>
                <w:b/>
                <w:color w:val="063B4F"/>
                <w:sz w:val="18"/>
              </w:rPr>
              <w:t>Lagos partner pool</w:t>
              <w:br/>
            </w:r>
            <w:r>
              <w:rPr>
                <w:sz w:val="14"/>
              </w:rPr>
              <w:t>Yaba, VI, Ikoyi or Festac; final venue follows participant needs.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2232" w:hRule="atLeast"/>
        </w:trPr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EAF7F8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WHY SWIMMING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Supports physical wellbeing through low-impact cardio, mobility and recovery.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Helps employees decompress beyond the usual office, gym or screen routine.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Builds confidence and water-safety skills they keep beyond work.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Includes adults who avoid water from fear, embarrassment or limited access.</w:t>
            </w:r>
          </w:p>
        </w:tc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EAF7F8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WHY THIS PILOT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Employees experience the value before deciding whether to continue.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Company sponsorship reduces financial friction at the first step.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HR measures real participation instead of relying on announcement interest.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A longer cohort is considered only if genuine demand exists.</w:t>
            </w:r>
          </w:p>
        </w:tc>
      </w:tr>
      <w:tr>
        <w:trPr>
          <w:trHeight w:val="1987" w:hRule="atLeast"/>
        </w:trPr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F5FBFC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WHAT EMPLOYEES EXPERIENCE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Warm orientation for adults with little or no water confidence.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Guided breathing, floating and safe movement fundamentals.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Small-group coaching with no pressure to perform.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A clear next step only for employees who want to continue.</w:t>
            </w:r>
          </w:p>
        </w:tc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F5FBFC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WHAT SWIMBUDDZ HANDLES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Interest form and simple pre-session safety screening.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Coach coverage and partner-pool coordination.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Teaching aids where needed: kickboards, pool noodles or float supports.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Employee reminders, session-day logistics and concise HR report.</w:t>
            </w:r>
          </w:p>
        </w:tc>
      </w:tr>
      <w:tr>
        <w:trPr>
          <w:trHeight w:val="2102" w:hRule="atLeast"/>
        </w:trPr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F5FBFC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WHAT HR RECEIVES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Registration, attendance and engagement summary.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Anonymous before/after confidence and wellbeing pulse.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Satisfaction, comments and interest in continuing.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Recommendation to stop, repeat, or progress to a cohort.</w:t>
            </w:r>
          </w:p>
        </w:tc>
        <w:tc>
          <w:tcPr>
            <w:tcW w:type="dxa" w:w="5306"/>
            <w:vAlign w:val="top"/>
            <w:tcMar>
              <w:top w:w="200" w:type="dxa"/>
              <w:start w:w="120" w:type="dxa"/>
              <w:bottom w:w="170" w:type="dxa"/>
              <w:end w:w="120" w:type="dxa"/>
            </w:tcMar>
            <w:shd w:fill="F5FBFC"/>
          </w:tcPr>
          <w:p>
            <w:pPr>
              <w:spacing w:after="40" w:line="252" w:lineRule="auto"/>
            </w:pPr>
            <w:r/>
            <w:r>
              <w:rPr>
                <w:b/>
                <w:color w:val="063B4F"/>
                <w:sz w:val="17"/>
              </w:rPr>
              <w:t>COMMERCIAL &amp; PRIVACY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Recommended: the company sponsors the first session so employees pay nothing.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Final pilot fee is confirmed after headcount and venue are agreed.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Personal fears, health notes and skill details stay with the coach.</w:t>
            </w:r>
          </w:p>
          <w:p>
            <w:pPr>
              <w:pStyle w:val="ListBullet"/>
              <w:spacing w:after="0" w:line="252" w:lineRule="auto"/>
            </w:pPr>
            <w:r>
              <w:rPr>
                <w:sz w:val="16"/>
              </w:rPr>
              <w:t>HR receives only agreed, aggregated feedback.</w:t>
            </w:r>
          </w:p>
        </w:tc>
      </w:tr>
    </w:tbl>
    <w:p>
      <w:r>
        <w:rPr>
          <w:b/>
        </w:rPr>
        <w:t>A SIMPLE FOUR-STEP START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rHeight w:val="778" w:hRule="atLeast"/>
        </w:trPr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063B4F"/>
                <w:sz w:val="17"/>
              </w:rPr>
              <w:t>1 Scope</w:t>
              <w:br/>
            </w:r>
            <w:r>
              <w:rPr>
                <w:sz w:val="14"/>
              </w:rPr>
              <w:t>20-minute HR call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063B4F"/>
                <w:sz w:val="17"/>
              </w:rPr>
              <w:t>2 Confirm</w:t>
              <w:br/>
            </w:r>
            <w:r>
              <w:rPr>
                <w:sz w:val="14"/>
              </w:rPr>
              <w:t>Date, venue, headcount</w:t>
            </w:r>
          </w:p>
        </w:tc>
      </w:tr>
      <w:tr>
        <w:trPr>
          <w:trHeight w:val="778" w:hRule="atLeast"/>
        </w:trPr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063B4F"/>
                <w:sz w:val="17"/>
              </w:rPr>
              <w:t>3 Launch</w:t>
              <w:br/>
            </w:r>
            <w:r>
              <w:rPr>
                <w:sz w:val="14"/>
              </w:rPr>
              <w:t>SwimBuddz opens registration</w:t>
            </w:r>
          </w:p>
        </w:tc>
        <w:tc>
          <w:tcPr>
            <w:tcW w:type="dxa" w:w="530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063B4F"/>
                <w:sz w:val="17"/>
              </w:rPr>
              <w:t>4 Report</w:t>
              <w:br/>
            </w:r>
            <w:r>
              <w:rPr>
                <w:sz w:val="14"/>
              </w:rPr>
              <w:t>Session + report within 3 business days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rPr>
          <w:trHeight w:val="778" w:hRule="atLeast"/>
        </w:trPr>
        <w:tc>
          <w:tcPr>
            <w:tcW w:type="dxa" w:w="106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CFD"/>
          </w:tcPr>
          <w:p>
            <w:pPr>
              <w:spacing w:after="0"/>
              <w:jc w:val="center"/>
            </w:pPr>
            <w:r/>
            <w:r>
              <w:rPr>
                <w:color w:val="102A33"/>
                <w:sz w:val="16"/>
              </w:rPr>
              <w:t>Suggested next step: a 15-20 minute planning call to confirm headcount, likely location, sponsorship level and whether the pilot is only for feedback or a pathway into a 12-week cohort.</w:t>
            </w:r>
          </w:p>
        </w:tc>
      </w:tr>
    </w:tbl>
    <w:p>
      <w:pPr>
        <w:jc w:val="center"/>
      </w:pPr>
      <w:r>
        <w:rPr>
          <w:color w:val="60727A"/>
          <w:sz w:val="14"/>
        </w:rPr>
        <w:t>Ugo Nwachukwu · Founder, SwimBuddz · swimbuddz@gmail.com · +234 703 358 8400 · @swimbuddz · swimbuddz.com</w:t>
      </w:r>
    </w:p>
    <w:sectPr w:rsidR="00FC693F" w:rsidRPr="0006063C" w:rsidSect="00034616">
      <w:pgSz w:w="11909" w:h="16834"/>
      <w:pgMar w:top="648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