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2952"/>
        <w:gridCol w:w="7459"/>
      </w:tblGrid>
      <w:tr>
        <w:trPr>
          <w:trHeight w:val="1037" w:hRule="exact"/>
        </w:trPr>
        <w:tc>
          <w:tcPr>
            <w:tcW w:type="dxa" w:w="5263"/>
            <w:shd w:fill="123B4A"/>
            <w:tcMar>
              <w:top w:w="80" w:type="dxa"/>
              <w:start w:w="130" w:type="dxa"/>
              <w:bottom w:w="75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892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mbuddz-logo-full-origi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892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3"/>
            <w:shd w:fill="123B4A"/>
            <w:tcMar>
              <w:top w:w="80" w:type="dxa"/>
              <w:start w:w="130" w:type="dxa"/>
              <w:bottom w:w="75" w:type="dxa"/>
              <w:end w:w="13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ptos" w:hAnsi="Aptos"/>
                <w:b/>
                <w:color w:val="6EC9DA"/>
                <w:sz w:val="16"/>
              </w:rPr>
              <w:t>CORPORATE WELLNESS · LAGOS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ptos" w:hAnsi="Aptos"/>
                <w:b/>
                <w:color w:val="FFFFFF"/>
                <w:sz w:val="14"/>
              </w:rPr>
              <w:t>DISCUSSION OUTLINE FOR HR REVIEW</w:t>
            </w:r>
          </w:p>
        </w:tc>
      </w:tr>
    </w:tbl>
    <w:p>
      <w:pPr>
        <w:spacing w:before="140" w:after="0" w:line="240" w:lineRule="auto"/>
      </w:pPr>
      <w:r>
        <w:rPr>
          <w:rFonts w:ascii="Aptos" w:hAnsi="Aptos"/>
          <w:b/>
          <w:color w:val="1689A7"/>
          <w:sz w:val="20"/>
        </w:rPr>
        <w:t>INTRO TO WATER</w:t>
      </w:r>
    </w:p>
    <w:p>
      <w:pPr>
        <w:spacing w:before="0" w:after="40" w:line="240" w:lineRule="auto"/>
      </w:pPr>
      <w:r>
        <w:rPr>
          <w:rFonts w:ascii="Aptos" w:hAnsi="Aptos"/>
          <w:b/>
          <w:color w:val="123B4A"/>
          <w:sz w:val="44"/>
        </w:rPr>
        <w:t>A low-friction employee wellness pilot</w:t>
      </w:r>
    </w:p>
    <w:p>
      <w:pPr>
        <w:spacing w:before="0" w:after="140" w:line="254" w:lineRule="auto"/>
      </w:pPr>
      <w:r>
        <w:rPr>
          <w:rFonts w:ascii="Aptos" w:hAnsi="Aptos"/>
          <w:b w:val="0"/>
          <w:color w:val="4D6B74"/>
          <w:sz w:val="20"/>
        </w:rPr>
        <w:t>A company-sponsored weekend experience that lets employees try swimming safely before HR or staff commit to a longer programme.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10411"/>
      </w:tblGrid>
      <w:tr>
        <w:tc>
          <w:tcPr>
            <w:tcW w:type="dxa" w:w="10527"/>
            <w:shd w:fill="EAF5F7"/>
            <w:tcMar>
              <w:top w:w="95" w:type="dxa"/>
              <w:start w:w="140" w:type="dxa"/>
              <w:bottom w:w="90" w:type="dxa"/>
              <w:end w:w="140" w:type="dxa"/>
            </w:tcMar>
            <w:tcBorders>
              <w:start w:val="single" w:sz="22" w:color="1689A7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 xml:space="preserve">The pilot is built to answer two practical HR questions: </w:t>
            </w:r>
            <w:r>
              <w:rPr>
                <w:rFonts w:ascii="Aptos" w:hAnsi="Aptos"/>
                <w:b w:val="0"/>
                <w:color w:val="17333D"/>
                <w:sz w:val="18"/>
              </w:rPr>
              <w:t>Will employees participate? And will the experience have a visible effect on how they feel?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Aptos" w:hAnsi="Aptos"/>
          <w:b/>
          <w:color w:val="1689A7"/>
          <w:sz w:val="16"/>
        </w:rPr>
        <w:t>PILOT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2448"/>
        <w:gridCol w:w="2448"/>
        <w:gridCol w:w="2448"/>
        <w:gridCol w:w="2923"/>
      </w:tblGrid>
      <w:tr>
        <w:tc>
          <w:tcPr>
            <w:tcW w:type="dxa" w:w="2632"/>
            <w:shd w:fill="F5FAFB"/>
            <w:tcMar>
              <w:top w:w="95" w:type="dxa"/>
              <w:start w:w="110" w:type="dxa"/>
              <w:bottom w:w="90" w:type="dxa"/>
              <w:end w:w="110" w:type="dxa"/>
            </w:tcMar>
            <w:tcBorders>
              <w:top w:val="single" w:sz="6" w:color="C8DDE2"/>
              <w:start w:val="single" w:sz="6" w:color="C8DDE2"/>
              <w:bottom w:val="single" w:sz="6" w:color="C8DDE2"/>
              <w:end w:val="single" w:sz="6" w:color="C8DDE2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color w:val="123B4A"/>
                <w:sz w:val="20"/>
              </w:rPr>
              <w:t>8–10 employees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5"/>
              </w:rPr>
              <w:t>Suggested size; adjusted to venue and coach-to-swimmer ratio.</w:t>
            </w:r>
          </w:p>
        </w:tc>
        <w:tc>
          <w:tcPr>
            <w:tcW w:type="dxa" w:w="2632"/>
            <w:shd w:fill="F5FAFB"/>
            <w:tcMar>
              <w:top w:w="95" w:type="dxa"/>
              <w:start w:w="110" w:type="dxa"/>
              <w:bottom w:w="90" w:type="dxa"/>
              <w:end w:w="110" w:type="dxa"/>
            </w:tcMar>
            <w:tcBorders>
              <w:top w:val="single" w:sz="6" w:color="C8DDE2"/>
              <w:start w:val="single" w:sz="6" w:color="C8DDE2"/>
              <w:bottom w:val="single" w:sz="6" w:color="C8DDE2"/>
              <w:end w:val="single" w:sz="6" w:color="C8DDE2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color w:val="123B4A"/>
                <w:sz w:val="20"/>
              </w:rPr>
              <w:t>90 minutes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5"/>
              </w:rPr>
              <w:t>Guided, beginner-friendly water experience.</w:t>
            </w:r>
          </w:p>
        </w:tc>
        <w:tc>
          <w:tcPr>
            <w:tcW w:type="dxa" w:w="2632"/>
            <w:shd w:fill="F5FAFB"/>
            <w:tcMar>
              <w:top w:w="95" w:type="dxa"/>
              <w:start w:w="110" w:type="dxa"/>
              <w:bottom w:w="90" w:type="dxa"/>
              <w:end w:w="110" w:type="dxa"/>
            </w:tcMar>
            <w:tcBorders>
              <w:top w:val="single" w:sz="6" w:color="C8DDE2"/>
              <w:start w:val="single" w:sz="6" w:color="C8DDE2"/>
              <w:bottom w:val="single" w:sz="6" w:color="C8DDE2"/>
              <w:end w:val="single" w:sz="6" w:color="C8DDE2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color w:val="123B4A"/>
                <w:sz w:val="20"/>
              </w:rPr>
              <w:t>Saturday morning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5"/>
              </w:rPr>
              <w:t>Low disruption to the working week.</w:t>
            </w:r>
          </w:p>
        </w:tc>
        <w:tc>
          <w:tcPr>
            <w:tcW w:type="dxa" w:w="2632"/>
            <w:shd w:fill="F5FAFB"/>
            <w:tcMar>
              <w:top w:w="95" w:type="dxa"/>
              <w:start w:w="110" w:type="dxa"/>
              <w:bottom w:w="90" w:type="dxa"/>
              <w:end w:w="110" w:type="dxa"/>
            </w:tcMar>
            <w:tcBorders>
              <w:top w:val="single" w:sz="6" w:color="C8DDE2"/>
              <w:start w:val="single" w:sz="6" w:color="C8DDE2"/>
              <w:bottom w:val="single" w:sz="6" w:color="C8DDE2"/>
              <w:end w:val="single" w:sz="6" w:color="C8DDE2"/>
            </w:tcBorders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color w:val="123B4A"/>
                <w:sz w:val="20"/>
              </w:rPr>
              <w:t>Lagos partner pool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5"/>
              </w:rPr>
              <w:t>Yaba, VI, Ikoyi or Festac; final venue follows participant needs.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098"/>
        <w:gridCol w:w="5098"/>
      </w:tblGrid>
      <w:tr>
        <w:tc>
          <w:tcPr>
            <w:tcW w:type="dxa" w:w="5263"/>
            <w:tcMar>
              <w:top w:w="35" w:type="dxa"/>
              <w:start w:w="55" w:type="dxa"/>
              <w:bottom w:w="35" w:type="dxa"/>
              <w:end w:w="55" w:type="dxa"/>
            </w:tcMar>
          </w:tcPr>
          <w:p/>
          <w:p>
            <w:pPr>
              <w:spacing w:before="0" w:after="60" w:line="240" w:lineRule="auto"/>
            </w:pPr>
            <w:r>
              <w:rPr>
                <w:rFonts w:ascii="Aptos" w:hAnsi="Aptos"/>
                <w:b/>
                <w:color w:val="1689A7"/>
                <w:sz w:val="16"/>
              </w:rPr>
              <w:t>WHAT EMPLOYEES EXPERIENCE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A warm, beginner-friendly orientation to the water.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Guided breathing, floating and safe movement fundamentals.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Small-group coaching with no pressure to perform or already know how to swim.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A clear next step only for employees who genuinely want to continue.</w:t>
            </w:r>
          </w:p>
        </w:tc>
        <w:tc>
          <w:tcPr>
            <w:tcW w:type="dxa" w:w="5263"/>
            <w:tcMar>
              <w:top w:w="35" w:type="dxa"/>
              <w:start w:w="55" w:type="dxa"/>
              <w:bottom w:w="35" w:type="dxa"/>
              <w:end w:w="55" w:type="dxa"/>
            </w:tcMar>
          </w:tcPr>
          <w:p/>
          <w:p>
            <w:pPr>
              <w:spacing w:before="0" w:after="60" w:line="240" w:lineRule="auto"/>
            </w:pPr>
            <w:r>
              <w:rPr>
                <w:rFonts w:ascii="Aptos" w:hAnsi="Aptos"/>
                <w:b/>
                <w:color w:val="1689A7"/>
                <w:sz w:val="16"/>
              </w:rPr>
              <w:t>WHAT SWIMBUDDZ HANDLES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Interest form and simple pre-session safety screening.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Coach, pool, equipment and session-plan coordination.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Employee reminders and session-day logistics.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7"/>
              </w:rPr>
              <w:t>Feedback collection and a concise report for HR.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098"/>
        <w:gridCol w:w="5098"/>
      </w:tblGrid>
      <w:tr>
        <w:tc>
          <w:tcPr>
            <w:tcW w:type="dxa" w:w="5263"/>
            <w:shd w:fill="F5FAFB"/>
            <w:tcMar>
              <w:top w:w="85" w:type="dxa"/>
              <w:start w:w="120" w:type="dxa"/>
              <w:bottom w:w="80" w:type="dxa"/>
              <w:end w:w="120" w:type="dxa"/>
            </w:tcMar>
            <w:tcBorders>
              <w:top w:val="single" w:sz="6" w:color="C8DDE2"/>
              <w:start w:val="single" w:sz="6" w:color="C8DDE2"/>
              <w:bottom w:val="single" w:sz="6" w:color="C8DDE2"/>
              <w:end w:val="single" w:sz="6" w:color="C8DDE2"/>
            </w:tcBorders>
          </w:tcPr>
          <w:p>
            <w:pPr>
              <w:spacing w:before="0" w:after="60" w:line="240" w:lineRule="auto"/>
            </w:pPr>
            <w:r>
              <w:rPr>
                <w:rFonts w:ascii="Aptos" w:hAnsi="Aptos"/>
                <w:b/>
                <w:color w:val="1689A7"/>
                <w:sz w:val="16"/>
              </w:rPr>
              <w:t>WHAT HR RECEIVES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Registration, attendance and engagement summary.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Anonymous before/after confidence and wellbeing pulse.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Satisfaction, comments and interest in continuing.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A short recommendation: stop, repeat, or progress to a cohort.</w:t>
            </w:r>
          </w:p>
        </w:tc>
        <w:tc>
          <w:tcPr>
            <w:tcW w:type="dxa" w:w="5263"/>
            <w:shd w:fill="F5FAFB"/>
            <w:tcMar>
              <w:top w:w="85" w:type="dxa"/>
              <w:start w:w="120" w:type="dxa"/>
              <w:bottom w:w="80" w:type="dxa"/>
              <w:end w:w="120" w:type="dxa"/>
            </w:tcMar>
            <w:tcBorders>
              <w:top w:val="single" w:sz="6" w:color="C8DDE2"/>
              <w:start w:val="single" w:sz="6" w:color="C8DDE2"/>
              <w:bottom w:val="single" w:sz="6" w:color="C8DDE2"/>
              <w:end w:val="single" w:sz="6" w:color="C8DDE2"/>
            </w:tcBorders>
          </w:tcPr>
          <w:p>
            <w:pPr>
              <w:spacing w:before="0" w:after="60" w:line="240" w:lineRule="auto"/>
            </w:pPr>
            <w:r>
              <w:rPr>
                <w:rFonts w:ascii="Aptos" w:hAnsi="Aptos"/>
                <w:b/>
                <w:color w:val="1689A7"/>
                <w:sz w:val="16"/>
              </w:rPr>
              <w:t>WHAT SUCCESS LOOKS LIKE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Participation: interested employees register and show up.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Experience: participants feel safer, calmer or more confident in water.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Continuation: genuine demand exists for a longer programme.</w:t>
            </w:r>
          </w:p>
          <w:p>
            <w:pPr>
              <w:pStyle w:val="PilotBullet"/>
              <w:spacing w:before="0" w:after="30" w:line="240" w:lineRule="auto"/>
            </w:pPr>
            <w:r>
              <w:rPr>
                <w:rFonts w:ascii="Aptos" w:hAnsi="Aptos"/>
                <w:b/>
                <w:color w:val="4D6B74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7333D"/>
                <w:sz w:val="16"/>
              </w:rPr>
              <w:t>Convenience: HR gets useful evidence with minimal administration.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6307"/>
        <w:gridCol w:w="3888"/>
      </w:tblGrid>
      <w:tr>
        <w:tc>
          <w:tcPr>
            <w:tcW w:type="dxa" w:w="5263"/>
            <w:shd w:fill="123B4A"/>
            <w:tcMar>
              <w:top w:w="90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color w:val="6EC9DA"/>
                <w:sz w:val="16"/>
              </w:rPr>
              <w:t>COMMERCIAL STRUCTURE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FFFFFF"/>
                <w:sz w:val="17"/>
              </w:rPr>
              <w:t xml:space="preserve">Recommended: the company sponsors the first session, so employees pay </w:t>
            </w:r>
            <w:r>
              <w:rPr>
                <w:rFonts w:ascii="Aptos" w:hAnsi="Aptos"/>
                <w:b/>
                <w:color w:val="FFFFFF"/>
                <w:sz w:val="17"/>
              </w:rPr>
              <w:t>₦0</w:t>
            </w:r>
            <w:r>
              <w:rPr>
                <w:rFonts w:ascii="Aptos" w:hAnsi="Aptos"/>
                <w:b w:val="0"/>
                <w:color w:val="FFFFFF"/>
                <w:sz w:val="17"/>
              </w:rPr>
              <w:t>. The one-time pilot fee is confirmed after headcount and venue are agreed; there is no setup or admin fee.</w:t>
            </w:r>
          </w:p>
        </w:tc>
        <w:tc>
          <w:tcPr>
            <w:tcW w:type="dxa" w:w="5263"/>
            <w:shd w:fill="EAF5F7"/>
            <w:tcMar>
              <w:top w:w="90" w:type="dxa"/>
              <w:start w:w="125" w:type="dxa"/>
              <w:bottom w:w="85" w:type="dxa"/>
              <w:end w:w="125" w:type="dxa"/>
            </w:tcMar>
          </w:tcPr>
          <w:p>
            <w:pPr>
              <w:spacing w:before="0" w:after="40" w:line="240" w:lineRule="auto"/>
            </w:pPr>
            <w:r>
              <w:rPr>
                <w:rFonts w:ascii="Aptos" w:hAnsi="Aptos"/>
                <w:b/>
                <w:color w:val="1689A7"/>
                <w:sz w:val="16"/>
              </w:rPr>
              <w:t>PRIVACY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7333D"/>
                <w:sz w:val="16"/>
              </w:rPr>
              <w:t>Personal fears, health notes and skill details stay with the coach. HR receives only agreed, aggregated feedback.</w:t>
            </w:r>
          </w:p>
        </w:tc>
      </w:tr>
    </w:tbl>
    <w:p>
      <w:pPr>
        <w:spacing w:before="100" w:after="60" w:line="240" w:lineRule="auto"/>
      </w:pPr>
      <w:r>
        <w:rPr>
          <w:rFonts w:ascii="Aptos" w:hAnsi="Aptos"/>
          <w:b/>
          <w:color w:val="1689A7"/>
          <w:sz w:val="16"/>
        </w:rPr>
        <w:t>A SIMPLE FOUR-STEP START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2592"/>
        <w:gridCol w:w="2592"/>
        <w:gridCol w:w="2592"/>
        <w:gridCol w:w="2635"/>
      </w:tblGrid>
      <w:tr>
        <w:tc>
          <w:tcPr>
            <w:tcW w:type="dxa" w:w="2632"/>
            <w:tcMar>
              <w:top w:w="45" w:type="dxa"/>
              <w:start w:w="75" w:type="dxa"/>
              <w:bottom w:w="40" w:type="dxa"/>
              <w:end w:w="75" w:type="dxa"/>
            </w:tcMar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1  </w:t>
            </w:r>
            <w:r>
              <w:rPr>
                <w:rFonts w:ascii="Aptos" w:hAnsi="Aptos"/>
                <w:b/>
                <w:color w:val="123B4A"/>
                <w:sz w:val="17"/>
              </w:rPr>
              <w:t>Scope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4"/>
              </w:rPr>
              <w:t>20-minute HR call</w:t>
            </w:r>
          </w:p>
        </w:tc>
        <w:tc>
          <w:tcPr>
            <w:tcW w:type="dxa" w:w="2632"/>
            <w:tcMar>
              <w:top w:w="45" w:type="dxa"/>
              <w:start w:w="75" w:type="dxa"/>
              <w:bottom w:w="40" w:type="dxa"/>
              <w:end w:w="75" w:type="dxa"/>
            </w:tcMar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2  </w:t>
            </w:r>
            <w:r>
              <w:rPr>
                <w:rFonts w:ascii="Aptos" w:hAnsi="Aptos"/>
                <w:b/>
                <w:color w:val="123B4A"/>
                <w:sz w:val="17"/>
              </w:rPr>
              <w:t>Confirm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4"/>
              </w:rPr>
              <w:t>Date, venue, headcount</w:t>
            </w:r>
          </w:p>
        </w:tc>
        <w:tc>
          <w:tcPr>
            <w:tcW w:type="dxa" w:w="2632"/>
            <w:tcMar>
              <w:top w:w="45" w:type="dxa"/>
              <w:start w:w="75" w:type="dxa"/>
              <w:bottom w:w="40" w:type="dxa"/>
              <w:end w:w="75" w:type="dxa"/>
            </w:tcMar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3  </w:t>
            </w:r>
            <w:r>
              <w:rPr>
                <w:rFonts w:ascii="Aptos" w:hAnsi="Aptos"/>
                <w:b/>
                <w:color w:val="123B4A"/>
                <w:sz w:val="17"/>
              </w:rPr>
              <w:t>Launch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4"/>
              </w:rPr>
              <w:t>SwimBuddz opens registration</w:t>
            </w:r>
          </w:p>
        </w:tc>
        <w:tc>
          <w:tcPr>
            <w:tcW w:type="dxa" w:w="2632"/>
            <w:tcMar>
              <w:top w:w="45" w:type="dxa"/>
              <w:start w:w="75" w:type="dxa"/>
              <w:bottom w:w="40" w:type="dxa"/>
              <w:end w:w="75" w:type="dxa"/>
            </w:tcMar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1689A7"/>
                <w:sz w:val="17"/>
              </w:rPr>
              <w:t xml:space="preserve">4  </w:t>
            </w:r>
            <w:r>
              <w:rPr>
                <w:rFonts w:ascii="Aptos" w:hAnsi="Aptos"/>
                <w:b/>
                <w:color w:val="123B4A"/>
                <w:sz w:val="17"/>
              </w:rPr>
              <w:t>Report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4D6B74"/>
                <w:sz w:val="14"/>
              </w:rPr>
              <w:t>Session + report within 3 business days</w:t>
            </w:r>
          </w:p>
        </w:tc>
      </w:tr>
    </w:tbl>
    <w:p>
      <w:pPr>
        <w:spacing w:before="100" w:after="0" w:line="240" w:lineRule="auto"/>
        <w:pBdr>
          <w:top w:val="single" w:sz="8" w:space="5" w:color="C8DDE2"/>
        </w:pBdr>
      </w:pPr>
      <w:r>
        <w:rPr>
          <w:rFonts w:ascii="Aptos" w:hAnsi="Aptos"/>
          <w:b/>
          <w:color w:val="123B4A"/>
          <w:sz w:val="16"/>
        </w:rPr>
        <w:t>Ugo Nwachukwu</w:t>
      </w:r>
      <w:r>
        <w:rPr>
          <w:rFonts w:ascii="Aptos" w:hAnsi="Aptos"/>
          <w:b w:val="0"/>
          <w:color w:val="4D6B74"/>
          <w:sz w:val="16"/>
        </w:rPr>
        <w:t xml:space="preserve">  ·  Founder, SwimBuddz  ·  </w:t>
      </w:r>
      <w:r>
        <w:rPr>
          <w:rFonts w:ascii="Aptos" w:hAnsi="Aptos"/>
          <w:b w:val="0"/>
          <w:color w:val="1689A7"/>
          <w:sz w:val="16"/>
        </w:rPr>
        <w:t>swimbuddz@gmail.com</w:t>
      </w:r>
      <w:r>
        <w:rPr>
          <w:rFonts w:ascii="Aptos" w:hAnsi="Aptos"/>
          <w:b w:val="0"/>
          <w:color w:val="4D6B74"/>
          <w:sz w:val="16"/>
        </w:rPr>
        <w:t xml:space="preserve">  ·  +234 703 358 8400  ·  @swimbuddz</w:t>
      </w:r>
    </w:p>
    <w:sectPr w:rsidR="00FC693F" w:rsidRPr="0006063C" w:rsidSect="00034616">
      <w:pgSz w:w="11909" w:h="16834"/>
      <w:pgMar w:top="547" w:right="691" w:bottom="547" w:left="691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ilotBullet">
    <w:name w:val="Pilot Bullet"/>
    <w:pPr>
      <w:spacing w:after="30"/>
      <w:ind w:left="0" w:firstLine="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SwimBuddz Intro to Water - Employee Wellness Pilot Outline</dc:title>
  <dc:subject>One-page corporate wellness pilot outline for HR review</dc:subject>
  <dc:creator>SwimBuddz</dc:creator>
  <cp:keywords>SwimBuddz, corporate wellness, employee wellbeing, swimming, Lagos, pilot</cp:keywords>
  <dc:description>Prepared as a discussion outline for HR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