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c>
          <w:tcPr>
            <w:tcW w:type="dxa" w:w="30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23F4B"/>
            <w:tcMar>
              <w:top w:w="70" w:type="dxa"/>
              <w:start w:w="150" w:type="dxa"/>
              <w:bottom w:w="70" w:type="dxa"/>
              <w:end w:w="1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5739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mbuddz-icon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573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23F4B"/>
            <w:tcMar>
              <w:top w:w="70" w:type="dxa"/>
              <w:start w:w="150" w:type="dxa"/>
              <w:bottom w:w="70" w:type="dxa"/>
              <w:end w:w="1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 Display" w:hAnsi="Aptos Display" w:eastAsia="Aptos Display"/>
                <w:b/>
                <w:color w:val="58C5BD"/>
                <w:sz w:val="16"/>
              </w:rPr>
              <w:t>CORPORATE WELLNESS · LAGOS</w:t>
              <w:br/>
            </w:r>
            <w:r>
              <w:rPr>
                <w:rFonts w:ascii="Aptos Display" w:hAnsi="Aptos Display" w:eastAsia="Aptos Display"/>
                <w:b/>
                <w:color w:val="FFFFFF"/>
                <w:sz w:val="14"/>
              </w:rPr>
              <w:t>DISCUSSION OUTLINE FOR NESTUGE</w:t>
            </w:r>
          </w:p>
        </w:tc>
      </w:tr>
    </w:tbl>
    <w:p>
      <w:pPr>
        <w:keepNext w:val="0"/>
        <w:spacing w:before="80" w:after="0" w:line="240" w:lineRule="auto"/>
      </w:pPr>
    </w:p>
    <w:p>
      <w:pPr>
        <w:keepNext/>
        <w:spacing w:before="0" w:after="30" w:line="240" w:lineRule="auto"/>
      </w:pPr>
      <w:r>
        <w:rPr>
          <w:rFonts w:ascii="Aptos Display" w:hAnsi="Aptos Display" w:eastAsia="Aptos Display"/>
          <w:b/>
          <w:color w:val="0C8CA8"/>
          <w:sz w:val="18"/>
        </w:rPr>
        <w:t>INTRO TO WATER</w:t>
      </w:r>
    </w:p>
    <w:p>
      <w:pPr>
        <w:keepNext/>
        <w:spacing w:before="0" w:after="50" w:line="228" w:lineRule="auto"/>
      </w:pPr>
      <w:r>
        <w:rPr>
          <w:rFonts w:ascii="Georgia" w:hAnsi="Georgia" w:eastAsia="Georgia"/>
          <w:b/>
          <w:color w:val="123F4B"/>
          <w:sz w:val="43"/>
        </w:rPr>
        <w:t>A low-commitment employee wellness pilot</w:t>
      </w:r>
    </w:p>
    <w:p>
      <w:pPr>
        <w:keepNext w:val="0"/>
        <w:spacing w:before="0" w:after="100" w:line="252" w:lineRule="auto"/>
      </w:pPr>
      <w:r>
        <w:rPr>
          <w:rFonts w:ascii="Georgia" w:hAnsi="Georgia" w:eastAsia="Georgia"/>
          <w:b w:val="0"/>
          <w:color w:val="55717A"/>
          <w:sz w:val="20"/>
        </w:rPr>
        <w:t>A one-off, company-sponsored weekend session that lets Nestuge test employee interest before considering a longer swim programme.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7"/>
      </w:tblGrid>
      <w:tr>
        <w:tc>
          <w:tcPr>
            <w:tcW w:type="dxa" w:w="10368"/>
            <w:shd w:fill="EAF4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single" w:sz="18" w:color="0C8CA8"/>
              <w:bottom w:val="nil"/>
              <w:right w:val="nil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Georgia" w:hAnsi="Georgia" w:eastAsia="Georgia"/>
                <w:b/>
                <w:color w:val="123F4B"/>
                <w:sz w:val="18"/>
              </w:rPr>
              <w:t xml:space="preserve">Designed around four practical realities: </w:t>
            </w:r>
            <w:r>
              <w:rPr>
                <w:rFonts w:ascii="Georgia" w:hAnsi="Georgia" w:eastAsia="Georgia"/>
                <w:b w:val="0"/>
                <w:color w:val="173B46"/>
                <w:sz w:val="18"/>
              </w:rPr>
              <w:t>employee time, cost, sustained participation, and Island/Mainland accessibility.</w:t>
            </w:r>
          </w:p>
        </w:tc>
      </w:tr>
    </w:tbl>
    <w:p>
      <w:pPr>
        <w:keepNext w:val="0"/>
        <w:spacing w:before="60" w:after="0" w:line="240" w:lineRule="auto"/>
      </w:pPr>
      <w:r>
        <w:rPr>
          <w:rFonts w:ascii="Aptos Display" w:hAnsi="Aptos Display" w:eastAsia="Aptos Display"/>
          <w:b/>
          <w:color w:val="0C8CA8"/>
          <w:sz w:val="17"/>
        </w:rPr>
        <w:t>PILOT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2"/>
        <w:gridCol w:w="2632"/>
        <w:gridCol w:w="2632"/>
        <w:gridCol w:w="2632"/>
      </w:tblGrid>
      <w:tr>
        <w:tc>
          <w:tcPr>
            <w:tcW w:type="dxa" w:w="2476"/>
            <w:shd w:fill="F5FAFB"/>
            <w:tcMar>
              <w:top w:w="80" w:type="dxa"/>
              <w:start w:w="80" w:type="dxa"/>
              <w:bottom w:w="75" w:type="dxa"/>
              <w:end w:w="75" w:type="dxa"/>
            </w:tcMar>
            <w:tcBorders>
              <w:top w:val="single" w:sz="8" w:color="B9D6DC"/>
              <w:left w:val="single" w:sz="8" w:color="B9D6DC"/>
              <w:bottom w:val="single" w:sz="8" w:color="B9D6DC"/>
              <w:right w:val="single" w:sz="8" w:color="B9D6DC"/>
            </w:tcBorders>
          </w:tcPr>
          <w:p>
            <w:pPr>
              <w:keepNext w:val="0"/>
              <w:spacing w:before="0" w:after="30" w:line="240" w:lineRule="auto"/>
            </w:pPr>
            <w:r>
              <w:rPr>
                <w:rFonts w:ascii="Georgia" w:hAnsi="Georgia" w:eastAsia="Georgia"/>
                <w:b/>
                <w:color w:val="123F4B"/>
                <w:sz w:val="18"/>
              </w:rPr>
              <w:t>8–10 employees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5"/>
              </w:rPr>
              <w:t>Suggested start; final size follows venue and coach coverage.</w:t>
            </w:r>
          </w:p>
        </w:tc>
        <w:tc>
          <w:tcPr>
            <w:tcW w:type="dxa" w:w="2476"/>
            <w:shd w:fill="F5FAFB"/>
            <w:tcMar>
              <w:top w:w="80" w:type="dxa"/>
              <w:start w:w="80" w:type="dxa"/>
              <w:bottom w:w="75" w:type="dxa"/>
              <w:end w:w="75" w:type="dxa"/>
            </w:tcMar>
            <w:tcBorders>
              <w:top w:val="single" w:sz="8" w:color="B9D6DC"/>
              <w:left w:val="single" w:sz="8" w:color="B9D6DC"/>
              <w:bottom w:val="single" w:sz="8" w:color="B9D6DC"/>
              <w:right w:val="single" w:sz="8" w:color="B9D6DC"/>
            </w:tcBorders>
          </w:tcPr>
          <w:p>
            <w:pPr>
              <w:keepNext w:val="0"/>
              <w:spacing w:before="0" w:after="30" w:line="240" w:lineRule="auto"/>
            </w:pPr>
            <w:r>
              <w:rPr>
                <w:rFonts w:ascii="Georgia" w:hAnsi="Georgia" w:eastAsia="Georgia"/>
                <w:b/>
                <w:color w:val="123F4B"/>
                <w:sz w:val="18"/>
              </w:rPr>
              <w:t>90 minutes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5"/>
              </w:rPr>
              <w:t>One guided session with no 12-week commitment.</w:t>
            </w:r>
          </w:p>
        </w:tc>
        <w:tc>
          <w:tcPr>
            <w:tcW w:type="dxa" w:w="2476"/>
            <w:shd w:fill="F5FAFB"/>
            <w:tcMar>
              <w:top w:w="80" w:type="dxa"/>
              <w:start w:w="80" w:type="dxa"/>
              <w:bottom w:w="75" w:type="dxa"/>
              <w:end w:w="75" w:type="dxa"/>
            </w:tcMar>
            <w:tcBorders>
              <w:top w:val="single" w:sz="8" w:color="B9D6DC"/>
              <w:left w:val="single" w:sz="8" w:color="B9D6DC"/>
              <w:bottom w:val="single" w:sz="8" w:color="B9D6DC"/>
              <w:right w:val="single" w:sz="8" w:color="B9D6DC"/>
            </w:tcBorders>
          </w:tcPr>
          <w:p>
            <w:pPr>
              <w:keepNext w:val="0"/>
              <w:spacing w:before="0" w:after="30" w:line="240" w:lineRule="auto"/>
            </w:pPr>
            <w:r>
              <w:rPr>
                <w:rFonts w:ascii="Georgia" w:hAnsi="Georgia" w:eastAsia="Georgia"/>
                <w:b/>
                <w:color w:val="123F4B"/>
                <w:sz w:val="18"/>
              </w:rPr>
              <w:t>Saturday morning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5"/>
              </w:rPr>
              <w:t>Outside the work week and limited to one session.</w:t>
            </w:r>
          </w:p>
        </w:tc>
        <w:tc>
          <w:tcPr>
            <w:tcW w:type="dxa" w:w="2937"/>
            <w:shd w:fill="F5FAFB"/>
            <w:tcMar>
              <w:top w:w="80" w:type="dxa"/>
              <w:start w:w="80" w:type="dxa"/>
              <w:bottom w:w="75" w:type="dxa"/>
              <w:end w:w="75" w:type="dxa"/>
            </w:tcMar>
            <w:tcBorders>
              <w:top w:val="single" w:sz="8" w:color="B9D6DC"/>
              <w:left w:val="single" w:sz="8" w:color="B9D6DC"/>
              <w:bottom w:val="single" w:sz="8" w:color="B9D6DC"/>
              <w:right w:val="single" w:sz="8" w:color="B9D6DC"/>
            </w:tcBorders>
          </w:tcPr>
          <w:p>
            <w:pPr>
              <w:keepNext w:val="0"/>
              <w:spacing w:before="0" w:after="30" w:line="240" w:lineRule="auto"/>
            </w:pPr>
            <w:r>
              <w:rPr>
                <w:rFonts w:ascii="Georgia" w:hAnsi="Georgia" w:eastAsia="Georgia"/>
                <w:b/>
                <w:color w:val="123F4B"/>
                <w:sz w:val="18"/>
              </w:rPr>
              <w:t>Location-led venue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5"/>
              </w:rPr>
              <w:t>Yaba, VI, Ikoyi or Festac, chosen after a participant location check.</w:t>
            </w:r>
          </w:p>
        </w:tc>
      </w:tr>
    </w:tbl>
    <w:p>
      <w:pPr>
        <w:keepNext w:val="0"/>
        <w:spacing w:before="6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c>
          <w:tcPr>
            <w:tcW w:type="dxa" w:w="5140"/>
            <w:tcMar>
              <w:top w:w="35" w:type="dxa"/>
              <w:start w:w="70" w:type="dxa"/>
              <w:bottom w:w="4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7"/>
              </w:rPr>
              <w:t>WHY THIS FORMAT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Employees experience the value before deciding whether a longer programme is worth the time and cost.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HR measures actual demand instead of asking the team to commit based on interest alone.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The session has a defined start and finish, reducing the risk of momentum fading over several weeks.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A full cohort is considered only if enough employees actively want to continue.</w:t>
            </w:r>
          </w:p>
        </w:tc>
        <w:tc>
          <w:tcPr>
            <w:tcW w:type="dxa" w:w="5140"/>
            <w:tcMar>
              <w:top w:w="35" w:type="dxa"/>
              <w:start w:w="70" w:type="dxa"/>
              <w:bottom w:w="4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7"/>
              </w:rPr>
              <w:t>WHAT EMPLOYEES EXPERIENCE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A warm, beginner-friendly orientation designed for adults with little or no water confidence.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Guided breathing, floating and safe movement fundamentals.</w:t>
            </w:r>
          </w:p>
          <w:p>
            <w:pPr>
              <w:keepNext w:val="0"/>
              <w:spacing w:before="0" w:after="2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Small-group coaching with no pressure to perform or already know how to swim.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7"/>
              </w:rPr>
              <w:t>A clear next step, with no obligation to join the 12-week programme.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9"/>
        <w:gridCol w:w="3509"/>
        <w:gridCol w:w="3509"/>
      </w:tblGrid>
      <w:tr>
        <w:tc>
          <w:tcPr>
            <w:tcW w:type="dxa" w:w="3484"/>
            <w:shd w:fill="F5FAFB"/>
            <w:tcMar>
              <w:top w:w="70" w:type="dxa"/>
              <w:start w:w="80" w:type="dxa"/>
              <w:bottom w:w="65" w:type="dxa"/>
              <w:end w:w="75" w:type="dxa"/>
            </w:tcMar>
            <w:tcBorders>
              <w:top w:val="single" w:sz="7" w:color="B9D6DC"/>
              <w:left w:val="single" w:sz="7" w:color="B9D6DC"/>
              <w:bottom w:val="single" w:sz="7" w:color="B9D6DC"/>
              <w:right w:val="single" w:sz="7" w:color="B9D6DC"/>
            </w:tcBorders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5"/>
              </w:rPr>
              <w:t>SWIMBUDDZ HANDLES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Interest form, participant location check and pre-session screening.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Pool, coach, basic equipment and session-plan coordination.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Reminders, session delivery and employee feedback collection.</w:t>
            </w:r>
          </w:p>
        </w:tc>
        <w:tc>
          <w:tcPr>
            <w:tcW w:type="dxa" w:w="3484"/>
            <w:shd w:fill="F5FAFB"/>
            <w:tcMar>
              <w:top w:w="70" w:type="dxa"/>
              <w:start w:w="80" w:type="dxa"/>
              <w:bottom w:w="65" w:type="dxa"/>
              <w:end w:w="75" w:type="dxa"/>
            </w:tcMar>
            <w:tcBorders>
              <w:top w:val="single" w:sz="7" w:color="B9D6DC"/>
              <w:left w:val="single" w:sz="7" w:color="B9D6DC"/>
              <w:bottom w:val="single" w:sz="7" w:color="B9D6DC"/>
              <w:right w:val="single" w:sz="7" w:color="B9D6DC"/>
            </w:tcBorders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5"/>
              </w:rPr>
              <w:t>NESTUGE PROVIDES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One People/Operations contact for coordination.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Approval of the date, venue and final quote.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Internal circulation of the registration link and pilot sponsorship.</w:t>
            </w:r>
          </w:p>
        </w:tc>
        <w:tc>
          <w:tcPr>
            <w:tcW w:type="dxa" w:w="3311"/>
            <w:shd w:fill="F5FAFB"/>
            <w:tcMar>
              <w:top w:w="70" w:type="dxa"/>
              <w:start w:w="80" w:type="dxa"/>
              <w:bottom w:w="65" w:type="dxa"/>
              <w:end w:w="75" w:type="dxa"/>
            </w:tcMar>
            <w:tcBorders>
              <w:top w:val="single" w:sz="7" w:color="B9D6DC"/>
              <w:left w:val="single" w:sz="7" w:color="B9D6DC"/>
              <w:bottom w:val="single" w:sz="7" w:color="B9D6DC"/>
              <w:right w:val="single" w:sz="7" w:color="B9D6DC"/>
            </w:tcBorders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5"/>
              </w:rPr>
              <w:t>SAFETY &amp; PRIVACY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Brief health and water-confidence screening before the session.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Coach coverage adjusted to the venue and participant needs.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Personal health, fear and skill details remain with the coach; HR receives aggregated feedback only.</w:t>
            </w:r>
          </w:p>
        </w:tc>
      </w:tr>
    </w:tbl>
    <w:p>
      <w:pPr>
        <w:keepNext w:val="0"/>
        <w:spacing w:before="6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3"/>
        <w:gridCol w:w="5263"/>
      </w:tblGrid>
      <w:tr>
        <w:tc>
          <w:tcPr>
            <w:tcW w:type="dxa" w:w="5212"/>
            <w:tcMar>
              <w:top w:w="70" w:type="dxa"/>
              <w:start w:w="90" w:type="dxa"/>
              <w:bottom w:w="65" w:type="dxa"/>
              <w:end w:w="90" w:type="dxa"/>
            </w:tcMar>
            <w:tcBorders>
              <w:top w:val="single" w:sz="7" w:color="B9D6DC"/>
              <w:left w:val="single" w:sz="7" w:color="B9D6DC"/>
              <w:bottom w:val="single" w:sz="7" w:color="B9D6DC"/>
              <w:right w:val="single" w:sz="7" w:color="B9D6DC"/>
            </w:tcBorders>
            <w:shd w:fill="EAF4F6"/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0C8CA8"/>
                <w:sz w:val="16"/>
              </w:rPr>
              <w:t>WHAT HR RECEIVES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Registration, attendance and engagement summary.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Anonymous before/after confidence and wellbeing pulse.</w:t>
            </w:r>
          </w:p>
          <w:p>
            <w:pPr>
              <w:keepNext w:val="0"/>
              <w:spacing w:before="0" w:after="1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Satisfaction, comments and interest in continuing.</w:t>
            </w:r>
          </w:p>
          <w:p>
            <w:pPr>
              <w:keepNext w:val="0"/>
              <w:spacing w:before="0" w:after="0" w:line="240" w:lineRule="auto"/>
              <w:ind w:left="187" w:hanging="187"/>
            </w:pPr>
            <w:r>
              <w:rPr>
                <w:rFonts w:ascii="Aptos" w:hAnsi="Aptos" w:eastAsia="Aptos"/>
                <w:b/>
                <w:color w:val="0C8CA8"/>
                <w:sz w:val="15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73B46"/>
                <w:sz w:val="15"/>
              </w:rPr>
              <w:t>A recommendation to stop, repeat, or progress to a cohort.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65" w:type="dxa"/>
              <w:end w:w="90" w:type="dxa"/>
            </w:tcMar>
            <w:tcBorders>
              <w:top w:val="single" w:sz="7" w:color="B9D6DC"/>
              <w:left w:val="single" w:sz="7" w:color="B9D6DC"/>
              <w:bottom w:val="single" w:sz="7" w:color="B9D6DC"/>
              <w:right w:val="single" w:sz="7" w:color="B9D6DC"/>
            </w:tcBorders>
            <w:shd w:fill="123F4B"/>
          </w:tcPr>
          <w:p>
            <w:pPr>
              <w:keepNext/>
              <w:spacing w:before="0" w:after="40" w:line="240" w:lineRule="auto"/>
            </w:pPr>
            <w:r>
              <w:rPr>
                <w:rFonts w:ascii="Aptos Display" w:hAnsi="Aptos Display" w:eastAsia="Aptos Display"/>
                <w:b/>
                <w:color w:val="58C5BD"/>
                <w:sz w:val="16"/>
              </w:rPr>
              <w:t>COMMERCIAL STRUCTURE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Georgia" w:hAnsi="Georgia" w:eastAsia="Georgia"/>
                <w:b/>
                <w:color w:val="FFFFFF"/>
                <w:sz w:val="15"/>
              </w:rPr>
              <w:t xml:space="preserve">Recommended: </w:t>
            </w:r>
            <w:r>
              <w:rPr>
                <w:rFonts w:ascii="Georgia" w:hAnsi="Georgia" w:eastAsia="Georgia"/>
                <w:b w:val="0"/>
                <w:color w:val="FFFFFF"/>
                <w:sz w:val="15"/>
              </w:rPr>
              <w:t>Nestuge sponsors the capped first session so employees pay ₦0.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Georgia" w:hAnsi="Georgia" w:eastAsia="Georgia"/>
                <w:b w:val="0"/>
                <w:color w:val="FFFFFF"/>
                <w:sz w:val="15"/>
              </w:rPr>
              <w:t>The final quote follows headcount and venue and will state pool access explicitly. It covers coaching, coordination, registration, reminders, basic session equipment and the post-session report.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FFFFFF"/>
                <w:sz w:val="15"/>
              </w:rPr>
              <w:t>Transport, personal swimwear and premium-venue upgrades are excluded unless agreed separately.</w:t>
            </w:r>
          </w:p>
        </w:tc>
      </w:tr>
    </w:tbl>
    <w:p>
      <w:pPr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0C8CA8"/>
          <w:sz w:val="17"/>
        </w:rPr>
        <w:t>A SIMPLE FOUR-STEP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2"/>
        <w:gridCol w:w="2632"/>
        <w:gridCol w:w="2632"/>
        <w:gridCol w:w="2632"/>
      </w:tblGrid>
      <w:tr>
        <w:tc>
          <w:tcPr>
            <w:tcW w:type="dxa" w:w="2376"/>
            <w:tcMar>
              <w:top w:w="30" w:type="dxa"/>
              <w:start w:w="50" w:type="dxa"/>
              <w:bottom w:w="35" w:type="dxa"/>
              <w:end w:w="5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Georgia" w:hAnsi="Georgia" w:eastAsia="Georgia"/>
                <w:b/>
                <w:color w:val="0C8CA8"/>
                <w:sz w:val="16"/>
              </w:rPr>
              <w:t xml:space="preserve">1  </w:t>
            </w:r>
            <w:r>
              <w:rPr>
                <w:rFonts w:ascii="Georgia" w:hAnsi="Georgia" w:eastAsia="Georgia"/>
                <w:b/>
                <w:color w:val="123F4B"/>
                <w:sz w:val="16"/>
              </w:rPr>
              <w:t>Interest check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4"/>
              </w:rPr>
              <w:t>Short internal form</w:t>
            </w:r>
          </w:p>
        </w:tc>
        <w:tc>
          <w:tcPr>
            <w:tcW w:type="dxa" w:w="2520"/>
            <w:tcMar>
              <w:top w:w="30" w:type="dxa"/>
              <w:start w:w="50" w:type="dxa"/>
              <w:bottom w:w="35" w:type="dxa"/>
              <w:end w:w="5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Georgia" w:hAnsi="Georgia" w:eastAsia="Georgia"/>
                <w:b/>
                <w:color w:val="0C8CA8"/>
                <w:sz w:val="16"/>
              </w:rPr>
              <w:t xml:space="preserve">2  </w:t>
            </w:r>
            <w:r>
              <w:rPr>
                <w:rFonts w:ascii="Georgia" w:hAnsi="Georgia" w:eastAsia="Georgia"/>
                <w:b/>
                <w:color w:val="123F4B"/>
                <w:sz w:val="16"/>
              </w:rPr>
              <w:t>Scope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4"/>
              </w:rPr>
              <w:t>Date, areas, headcount, budget</w:t>
            </w:r>
          </w:p>
        </w:tc>
        <w:tc>
          <w:tcPr>
            <w:tcW w:type="dxa" w:w="2808"/>
            <w:tcMar>
              <w:top w:w="30" w:type="dxa"/>
              <w:start w:w="50" w:type="dxa"/>
              <w:bottom w:w="35" w:type="dxa"/>
              <w:end w:w="5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Georgia" w:hAnsi="Georgia" w:eastAsia="Georgia"/>
                <w:b/>
                <w:color w:val="0C8CA8"/>
                <w:sz w:val="16"/>
              </w:rPr>
              <w:t xml:space="preserve">3  </w:t>
            </w:r>
            <w:r>
              <w:rPr>
                <w:rFonts w:ascii="Georgia" w:hAnsi="Georgia" w:eastAsia="Georgia"/>
                <w:b/>
                <w:color w:val="123F4B"/>
                <w:sz w:val="16"/>
              </w:rPr>
              <w:t>Confirm &amp; launch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4"/>
              </w:rPr>
              <w:t>Quote approved; registration opens</w:t>
            </w:r>
          </w:p>
        </w:tc>
        <w:tc>
          <w:tcPr>
            <w:tcW w:type="dxa" w:w="2577"/>
            <w:tcMar>
              <w:top w:w="30" w:type="dxa"/>
              <w:start w:w="50" w:type="dxa"/>
              <w:bottom w:w="35" w:type="dxa"/>
              <w:end w:w="5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Georgia" w:hAnsi="Georgia" w:eastAsia="Georgia"/>
                <w:b/>
                <w:color w:val="0C8CA8"/>
                <w:sz w:val="16"/>
              </w:rPr>
              <w:t xml:space="preserve">4  </w:t>
            </w:r>
            <w:r>
              <w:rPr>
                <w:rFonts w:ascii="Georgia" w:hAnsi="Georgia" w:eastAsia="Georgia"/>
                <w:b/>
                <w:color w:val="123F4B"/>
                <w:sz w:val="16"/>
              </w:rPr>
              <w:t>Run &amp; report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Georgia" w:hAnsi="Georgia" w:eastAsia="Georgia"/>
                <w:b w:val="0"/>
                <w:color w:val="55717A"/>
                <w:sz w:val="14"/>
              </w:rPr>
              <w:t>Session + report within 3 business days</w:t>
            </w:r>
          </w:p>
        </w:tc>
      </w:tr>
    </w:tbl>
    <w:p>
      <w:pPr>
        <w:keepNext w:val="0"/>
        <w:spacing w:before="40" w:after="20" w:line="240" w:lineRule="auto"/>
        <w:pBdr>
          <w:bottom w:val="single" w:sz="6" w:space="1" w:color="B9D6DC"/>
        </w:pBdr>
      </w:pPr>
    </w:p>
    <w:p>
      <w:pPr>
        <w:keepNext w:val="0"/>
        <w:spacing w:before="0" w:after="0" w:line="240" w:lineRule="auto"/>
      </w:pPr>
      <w:r>
        <w:rPr>
          <w:rFonts w:ascii="Georgia" w:hAnsi="Georgia" w:eastAsia="Georgia"/>
          <w:b/>
          <w:color w:val="123F4B"/>
          <w:sz w:val="15"/>
        </w:rPr>
        <w:t>Ugo Nwachukwu</w:t>
      </w:r>
      <w:r>
        <w:rPr>
          <w:rFonts w:ascii="Georgia" w:hAnsi="Georgia" w:eastAsia="Georgia"/>
          <w:b w:val="0"/>
          <w:color w:val="55717A"/>
          <w:sz w:val="15"/>
        </w:rPr>
        <w:t xml:space="preserve">  ·  Founder, SwimBuddz  ·  swimbuddz@gmail.com  ·  +234 703 358 8400  ·  @swimbuddz  ·  swimbuddz.com</w:t>
      </w:r>
    </w:p>
    <w:sectPr w:rsidR="00FC693F" w:rsidRPr="0006063C" w:rsidSect="00034616">
      <w:pgSz w:w="11909" w:h="16834"/>
      <w:pgMar w:top="547" w:right="691" w:bottom="490" w:left="691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 w:eastAsia="Aptos"/>
      <w:color w:val="173B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SwimBuddz Intro to Water Pilot for Nestuge</dc:title>
  <dc:subject>One-page discussion outline for a low-commitment employee wellness pilot</dc:subject>
  <dc:creator>SwimBuddz</dc:creator>
  <cp:keywords>SwimBuddz, Nestuge, corporate wellness, swimming, employee pilot</cp:keywords>
  <dc:description>Prepared as a discussion outline for internal review; not a binding proposal.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