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ElectionFactory_02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Testing the static CreateElection() method in ElectionFactory to ensure correct derived type from Election is returned (or if an error is returned for invalid types)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tests specifically for the derived CPLElection object generation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 IRElection file is required to be in the same directory titled “CPLElectionTest_General.csv”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ifstream object from an CPL election test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CPL-type election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pointing to CPL-type election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pointing to CPL-type election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ElectionFactory’s static CreateElection() method using test information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generated from step 1, string with dummy date, string with IR flag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Attempt dynamic downcast to CPLElection*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Election* generated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CPLElection* generated above is 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CPLElection* generated from step 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 would’ve indicated that an incompatible derived class was created instead. Since the pointer is not null, however, the correct type was created before being upcasted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An Election pointer pointing to an upcasted CPLElection object will be returned.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X7Ng91FUOcST3JIkObWf87xd/Q==">AMUW2mWMKxkJtmhOp4sNuXprEFIiyJSkl9iLWETe/OIZfHo5iZaRYXcfpFJa6Hr5qc5h9cgreV0lUHnNGJ+aUTZ8xLfOl0Gqrr/CEDgzuNdJKieiAB3E1uk=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