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jc w:val="center"/>
      </w:pPr>
      <w:r>
        <w:rPr>
          <w:rFonts w:ascii="Times New Roman" w:cs="Times New Roman" w:eastAsia="Times New Roman" w:hAnsi="Times New Roman"/>
          <w:b/>
          <w:bCs/>
          <w:sz w:val="32"/>
          <w:szCs w:val="32"/>
        </w:rPr>
        <w:t xml:space="preserve">Kâğıt Üzerinde Sadık, Uygulamada Gözlemlenemez: Türkiye'nin Bilimsel Amaçlarla Kullanılan Hayvanlara İlişkin 2010/63/AB Sayılı Direktifi İç Hukuka Aktarması</w:t>
      </w:r>
    </w:p>
    <w:p>
      <w:pPr>
        <w:spacing w:after="360" w:line="240"/>
        <w:jc w:val="center"/>
      </w:pPr>
      <w:r>
        <w:rPr>
          <w:rFonts w:ascii="Times New Roman" w:cs="Times New Roman" w:eastAsia="Times New Roman" w:hAnsi="Times New Roman"/>
          <w:sz w:val="28"/>
          <w:szCs w:val="28"/>
        </w:rPr>
        <w:t xml:space="preserve">Faithful on Paper, Unobservable in Practice: Türkiye's Transposition of Directive 2010/63/EU on Animals Used for Scientific Purposes</w:t>
      </w:r>
    </w:p>
    <w:p>
      <w:pPr>
        <w:spacing w:after="160" w:line="240"/>
        <w:jc w:val="both"/>
      </w:pPr>
      <w:r>
        <w:rPr>
          <w:rFonts w:ascii="Times New Roman" w:cs="Times New Roman" w:eastAsia="Times New Roman" w:hAnsi="Times New Roman"/>
          <w:b/>
          <w:bCs/>
          <w:sz w:val="24"/>
          <w:szCs w:val="24"/>
        </w:rPr>
        <w:t xml:space="preserve">Özet: </w:t>
      </w:r>
      <w:r>
        <w:rPr>
          <w:rFonts w:ascii="Times New Roman" w:cs="Times New Roman" w:eastAsia="Times New Roman" w:hAnsi="Times New Roman"/>
          <w:sz w:val="24"/>
          <w:szCs w:val="24"/>
        </w:rPr>
        <w:t xml:space="preserve">Türk hukuku, bilimsel amaçlarla kullanılan hayvanlara ilişkin 2010/63/AB sayılı Direktifi neredeyse kelimesi kelimesine iç hukuka aktarmaktadır. Başta kurum içi etik kurullar, şiddetli acıya ilişkin yerel istisnalar ve daha zayıf sucul denetim olmak üzere altı ayrışma sürmektedir. Daha büyük boşluk gözlemlenebilirliktir: uyum kamuya açık kaynaklardan doğrulanamamaktadır.</w:t>
      </w:r>
    </w:p>
    <w:p>
      <w:pPr>
        <w:spacing w:after="160" w:line="240"/>
        <w:jc w:val="both"/>
      </w:pPr>
      <w:r>
        <w:rPr>
          <w:rFonts w:ascii="Times New Roman" w:cs="Times New Roman" w:eastAsia="Times New Roman" w:hAnsi="Times New Roman"/>
          <w:b/>
          <w:bCs/>
          <w:sz w:val="24"/>
          <w:szCs w:val="24"/>
        </w:rPr>
        <w:t xml:space="preserve">Anahtar Kelimeler: </w:t>
      </w:r>
      <w:r>
        <w:rPr>
          <w:rFonts w:ascii="Times New Roman" w:cs="Times New Roman" w:eastAsia="Times New Roman" w:hAnsi="Times New Roman"/>
          <w:sz w:val="24"/>
          <w:szCs w:val="24"/>
        </w:rPr>
        <w:t xml:space="preserve">2010/63/AB sayılı Direktif; Türkiye; hayvan deneyleri hukuku; etik kurullar; 3R; zarar-yarar analizi; denetim; şeffaflık; AB üyeliği; sucul hayvanlar</w:t>
      </w:r>
    </w:p>
    <w:p>
      <w:pPr>
        <w:spacing w:after="160" w:line="24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Turkish law transposes Directive 2010/63/EU on animals used for science almost verbatim. Six divergences remain, chiefly in-house ethics committees, local severe-pain exceptions and weaker aquatic inspection. The larger gap is observability: compliance cannot be verified from public sources.</w:t>
      </w:r>
    </w:p>
    <w:p>
      <w:pPr>
        <w:spacing w:after="160" w:line="2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Directive 2010/63/EU; Türkiye; animal experimentation law; ethics committees; 3Rs; harm-benefit analysis; inspection; transparency; EU accession; aquatic animals</w:t>
      </w:r>
    </w:p>
    <w:p>
      <w:pPr>
        <w:pBdr>
          <w:bottom w:val="single" w:color="808080" w:sz="6" w:space="1"/>
        </w:pBdr>
        <w:spacing w:after="200"/>
      </w:pPr>
    </w:p>
    <w:p>
      <w:pPr>
        <w:spacing w:after="360" w:line="240"/>
        <w:jc w:val="both"/>
      </w:pPr>
      <w:r>
        <w:rPr>
          <w:rFonts w:ascii="Times New Roman" w:cs="Times New Roman" w:eastAsia="Times New Roman" w:hAnsi="Times New Roman"/>
          <w:b/>
          <w:bCs/>
          <w:sz w:val="24"/>
          <w:szCs w:val="24"/>
        </w:rPr>
        <w:t xml:space="preserve">İçindekiler:</w:t>
      </w:r>
      <w:r>
        <w:rPr>
          <w:rFonts w:ascii="Times New Roman" w:cs="Times New Roman" w:eastAsia="Times New Roman" w:hAnsi="Times New Roman"/>
          <w:sz w:val="24"/>
          <w:szCs w:val="24"/>
        </w:rPr>
        <w:t xml:space="preserve"> 1. Giriş. 2. Hukuki çerçeve ve kapsam. 3. İzin ve proje değerlendirmesi. 4. Şiddet sınıflandırması ve 3R. 5. Personel yetkinliği. 6. Denetim, yaptırımlar ve raporlama. 7. Değerlendirme: altı ayrışma ve bir gözlemlenebilirlik boşluğu. 8. Sonuç. Kaynakça.</w:t>
      </w:r>
    </w:p>
    <w:p>
      <w:pPr>
        <w:keepNext/>
        <w:spacing w:after="160" w:before="280" w:line="240"/>
        <w:jc w:val="left"/>
      </w:pPr>
      <w:r>
        <w:rPr>
          <w:rFonts w:ascii="Times New Roman" w:cs="Times New Roman" w:eastAsia="Times New Roman" w:hAnsi="Times New Roman"/>
          <w:b/>
          <w:bCs/>
          <w:sz w:val="24"/>
          <w:szCs w:val="24"/>
        </w:rPr>
        <w:t xml:space="preserve">1. Giriş</w:t>
      </w:r>
    </w:p>
    <w:p>
      <w:pPr>
        <w:spacing w:after="160" w:line="240"/>
        <w:ind w:firstLine="425"/>
        <w:jc w:val="both"/>
      </w:pPr>
      <w:r>
        <w:rPr>
          <w:rFonts w:ascii="Times New Roman" w:cs="Times New Roman" w:eastAsia="Times New Roman" w:hAnsi="Times New Roman"/>
          <w:sz w:val="24"/>
          <w:szCs w:val="24"/>
        </w:rPr>
        <w:t xml:space="preserve">Türkiye, bilimsel amaçlarla kullanılan hayvanların korunmasına ilişkin 2010/63/AB sayılı Direktifle hiçbir zaman bağlı olmamıştır; buna karşın bu alandaki mevzuatı Direktifle uyumlu olacak biçimde yazılmıştır.</w:t>
      </w:r>
      <w:r>
        <w:rPr>
          <w:rStyle w:val="FootnoteReference"/>
        </w:rPr>
        <w:footnoteReference w:id="1"/>
      </w:r>
      <w:r>
        <w:rPr>
          <w:rFonts w:ascii="Times New Roman" w:cs="Times New Roman" w:eastAsia="Times New Roman" w:hAnsi="Times New Roman"/>
          <w:sz w:val="24"/>
          <w:szCs w:val="24"/>
        </w:rPr>
        <w:t xml:space="preserve"> Direktif, 2006–2007'de tarama sürecinden geçen ve 2010'da müzakereye açılan 12. fasıl (gıda güvenliği, veterinerlik ve bitki sağlığı politikası) kapsamındadır.</w:t>
      </w:r>
      <w:r>
        <w:rPr>
          <w:rStyle w:val="FootnoteReference"/>
        </w:rPr>
        <w:footnoteReference w:id="2"/>
      </w:r>
      <w:r>
        <w:rPr>
          <w:rFonts w:ascii="Times New Roman" w:cs="Times New Roman" w:eastAsia="Times New Roman" w:hAnsi="Times New Roman"/>
          <w:sz w:val="24"/>
          <w:szCs w:val="24"/>
        </w:rPr>
        <w:t xml:space="preserve"> Katılım müzakereleri 2018'den bu yana fiilen durmuştur. Direktifle uyum yine de sürmüş; bu uyumu katılım kaldıracından çok uluslararası araştırma sponsorlarının, akreditasyon kuruluşlarının ve bir Türk tesisinde üretilen verilerin çekincesiz kabul edilip edilemeyeceğine karar vermek durumunda olan düzenleyici otoritelerin beklentileri ayakta tutmuştur.</w:t>
      </w:r>
    </w:p>
    <w:p>
      <w:pPr>
        <w:spacing w:after="160" w:line="240"/>
        <w:ind w:firstLine="425"/>
        <w:jc w:val="both"/>
      </w:pPr>
      <w:r>
        <w:rPr>
          <w:rFonts w:ascii="Times New Roman" w:cs="Times New Roman" w:eastAsia="Times New Roman" w:hAnsi="Times New Roman"/>
          <w:sz w:val="24"/>
          <w:szCs w:val="24"/>
        </w:rPr>
        <w:t xml:space="preserve">Dolayısıyla mesele yalnızca akademik değildir. Klinik öncesi çalışma yürüten ya da bu çalışmayı dışarıdan temin eden çok uluslu sponsorlar, çalışmanın nerede yapıldığından bağımsız olarak, kendi düzenleyici otoritelerinin uyguladığı standartlar karşısında savunulabilir veriler beklemektedir; bu tür sponsorlarla çalışan bir Türk tesisi de eşdeğer beklentileri iç hukuk gerektirdiği için değil, sözleşme yoluyla üstlenmektedir. Aynı mesele, bir sponsorun kendi denetimi yerine yerel etik kurul onayına güvenip güvenemeyeceğini ve bir Türk araştırmacının aldığı eğitimin sınır ötesinde tanınıp tanınmayacağını da belirler. Uluslararası ölçütler bu tür bir güvene yalnızca eşit olmayan bir destek sağlamaktadır. AAALAC International akreditasyonu Türkiye'de mevcuttur ancak tek bir kurumla sınırlıdır; Türk yetkinlik sertifikalarını Avrupa Laboratuvar Hayvanları Bilimi Dernekleri Federasyonu'nun (FELASA) fonksiyon kategorilerine bağlayan sistematik bir yol da bulunmamaktadır. Türkiye'de FELASA türü eğitimler bunun yerine münferit kalmıştır; Utrecht Üniversitesi ile Dokuz Eylül Üniversitesi'nin 2013'teki ortak kursu buna örnektir.</w:t>
      </w:r>
      <w:r>
        <w:rPr>
          <w:rStyle w:val="FootnoteReference"/>
        </w:rPr>
        <w:footnoteReference w:id="3"/>
      </w:r>
      <w:r>
        <w:rPr>
          <w:rFonts w:ascii="Times New Roman" w:cs="Times New Roman" w:eastAsia="Times New Roman" w:hAnsi="Times New Roman"/>
          <w:sz w:val="24"/>
          <w:szCs w:val="24"/>
        </w:rPr>
        <w:t xml:space="preserve"> Uygulamada uyumu, mevzuattan çok belirli bir tesisin hangi sponsorlara, akreditasyon kuruluşlarına ve ihracat pazarlarına hesap verdiği biçimlendirmektedir. Mevzuatın kendisinin, uygulandığı takdirde, yeterli olup olmayacağı ise bu makalenin ele aldığı sorudur.</w:t>
      </w:r>
    </w:p>
    <w:p>
      <w:pPr>
        <w:spacing w:after="160" w:line="240"/>
        <w:ind w:firstLine="425"/>
        <w:jc w:val="both"/>
      </w:pPr>
      <w:r>
        <w:rPr>
          <w:rFonts w:ascii="Times New Roman" w:cs="Times New Roman" w:eastAsia="Times New Roman" w:hAnsi="Times New Roman"/>
          <w:sz w:val="24"/>
          <w:szCs w:val="24"/>
        </w:rPr>
        <w:t xml:space="preserve">Bu makale, bilimsel amaçlarla kullanılan hayvanlara ilişkin Türk hukukunun 2010/63/AB sayılı Direktifi ne ölçüde izlediğini, nerede ondan ayrıldığını ve performansının dışarıdan gözlemlenip gözlemlenemeyeceğini sormaktadır. Direktif, madde madde dört Türk düzenlemesiyle karşılaştırılmaktadır: 5199 sayılı Hayvanları Koruma Kanunu (2004); Deneysel ve Diğer Bilimsel Amaçlar İçin Kullanılan Hayvanların Refah ve Korunmasına Dair 2011 tarihli Yönetmelik (bundan sonra Refah Yönetmeliği); merkezi etik kurulu (HADMEK) ve yerel etik kurulları (HADYEK) düzenleyen Hayvan Deneyleri Etik Kurullarının Çalışma Usul ve Esaslarına Dair 2014 tarihli Yönetmelik (bundan sonra Etik Kurul Yönetmeliği) ve Bilimsel Amaçlar İçin Kullanılan Sucul Omurgalı Canlıların Refah ve Korunmasına Dair 2019 tarihli Yönetmelik (bundan sonra Sucul Yönetmelik).</w:t>
      </w:r>
      <w:r>
        <w:rPr>
          <w:rStyle w:val="FootnoteReference"/>
        </w:rPr>
        <w:footnoteReference w:id="4"/>
      </w:r>
    </w:p>
    <w:p>
      <w:pPr>
        <w:spacing w:after="160" w:line="240"/>
        <w:ind w:firstLine="425"/>
        <w:jc w:val="both"/>
      </w:pPr>
      <w:r>
        <w:rPr>
          <w:rFonts w:ascii="Times New Roman" w:cs="Times New Roman" w:eastAsia="Times New Roman" w:hAnsi="Times New Roman"/>
          <w:sz w:val="24"/>
          <w:szCs w:val="24"/>
        </w:rPr>
        <w:t xml:space="preserve">Yöntem dogmatiktir. Her Türk hükmü Resmî Gazete'deki özgün metniyle okunmuş, ardından Eylül 2026'da yürürlükte olan konsolide metinle karşılaştırılmıştır. Refah Yönetmeliği 2012 ve 2019'da, Sucul Yönetmelik 2022 ve 2024'te değiştirilmiştir; Etik Kurul Yönetmeliği ise değiştirilmemiştir.</w:t>
      </w:r>
      <w:r>
        <w:rPr>
          <w:rStyle w:val="FootnoteReference"/>
        </w:rPr>
        <w:footnoteReference w:id="5"/>
      </w:r>
      <w:r>
        <w:rPr>
          <w:rFonts w:ascii="Times New Roman" w:cs="Times New Roman" w:eastAsia="Times New Roman" w:hAnsi="Times New Roman"/>
          <w:sz w:val="24"/>
          <w:szCs w:val="24"/>
        </w:rPr>
        <w:t xml:space="preserve"> Hukuki analiz, merkezi etik kurulun faaliyet raporları ve istatistikleri, üç yerel kurul yönergesi ve ikincil literatürle desteklenmektedir.</w:t>
      </w:r>
    </w:p>
    <w:p>
      <w:pPr>
        <w:spacing w:after="160" w:line="240"/>
        <w:ind w:firstLine="425"/>
        <w:jc w:val="both"/>
      </w:pPr>
      <w:r>
        <w:rPr>
          <w:rFonts w:ascii="Times New Roman" w:cs="Times New Roman" w:eastAsia="Times New Roman" w:hAnsi="Times New Roman"/>
          <w:sz w:val="24"/>
          <w:szCs w:val="24"/>
        </w:rPr>
        <w:t xml:space="preserve">Bu alandaki en yakın önceki karşılaştırmada Gölcü ve Aksoy, yalnızca metinlerden hareketle, her iki Türk yönetmeliğinin bazı bölümlerinin Direktiften neredeyse kelimesi kelimesine çevrildiği ve Türkiye koşullarına uyarlanmadıkça yeterli bir koruma zemini sağlamayabileceği sonucuna varmıştır.</w:t>
      </w:r>
      <w:r>
        <w:rPr>
          <w:rStyle w:val="FootnoteReference"/>
        </w:rPr>
        <w:footnoteReference w:id="6"/>
      </w:r>
      <w:r>
        <w:rPr>
          <w:rFonts w:ascii="Times New Roman" w:cs="Times New Roman" w:eastAsia="Times New Roman" w:hAnsi="Times New Roman"/>
          <w:sz w:val="24"/>
          <w:szCs w:val="24"/>
        </w:rPr>
        <w:t xml:space="preserve"> Bu makale buna hüküm düzeyinde bir karşılaştırma, 5199 sayılı Kanunun tam bir okuması, konsolide metinler ve mevcut uygulama verilerini eklemektedir. Makalenin argümanı şudur: Türk çerçevesi kâğıt üzerinde büyük ölçüde yeterlidir; daha dar kapsamlı altı ayrışma varlığını sürdürmektedir; en belirleyici boşluk ise metinsel değil gözlemseldir: kurallara uyulup uyulmadığı kamuya açık kaynaklardan doğrulanamamaktadır.</w:t>
      </w:r>
    </w:p>
    <w:p>
      <w:pPr>
        <w:keepNext/>
        <w:spacing w:after="160" w:before="280" w:line="240"/>
        <w:jc w:val="left"/>
      </w:pPr>
      <w:r>
        <w:rPr>
          <w:rFonts w:ascii="Times New Roman" w:cs="Times New Roman" w:eastAsia="Times New Roman" w:hAnsi="Times New Roman"/>
          <w:b/>
          <w:bCs/>
          <w:sz w:val="24"/>
          <w:szCs w:val="24"/>
        </w:rPr>
        <w:t xml:space="preserve">2. Hukuki çerçeve ve kapsam</w:t>
      </w:r>
    </w:p>
    <w:p>
      <w:pPr>
        <w:keepNext/>
        <w:spacing w:after="160" w:before="280" w:line="240"/>
        <w:jc w:val="left"/>
      </w:pPr>
      <w:r>
        <w:rPr>
          <w:rFonts w:ascii="Times New Roman" w:cs="Times New Roman" w:eastAsia="Times New Roman" w:hAnsi="Times New Roman"/>
          <w:b/>
          <w:bCs/>
          <w:sz w:val="24"/>
          <w:szCs w:val="24"/>
        </w:rPr>
        <w:t xml:space="preserve">2.1. Direktif</w:t>
      </w:r>
    </w:p>
    <w:p>
      <w:pPr>
        <w:spacing w:after="160" w:line="240"/>
        <w:ind w:firstLine="425"/>
        <w:jc w:val="both"/>
      </w:pPr>
      <w:r>
        <w:rPr>
          <w:rFonts w:ascii="Times New Roman" w:cs="Times New Roman" w:eastAsia="Times New Roman" w:hAnsi="Times New Roman"/>
          <w:sz w:val="24"/>
          <w:szCs w:val="24"/>
        </w:rPr>
        <w:t xml:space="preserve">2010/63/AB sayılı Direktif, hayvanların prosedürlerde kullanıldığı veya kullanılmasının amaçlandığı ya da organ veya dokularının bilimsel amaçlarla kullanılabilmesi için özel olarak yetiştirildiği durumlarda uygulanır.</w:t>
      </w:r>
      <w:r>
        <w:rPr>
          <w:rStyle w:val="FootnoteReference"/>
        </w:rPr>
        <w:footnoteReference w:id="7"/>
      </w:r>
      <w:r>
        <w:rPr>
          <w:rFonts w:ascii="Times New Roman" w:cs="Times New Roman" w:eastAsia="Times New Roman" w:hAnsi="Times New Roman"/>
          <w:sz w:val="24"/>
          <w:szCs w:val="24"/>
        </w:rPr>
        <w:t xml:space="preserve"> Direktif; bağımsız beslenen larva formları ve normal gelişimlerinin son üçte birindeki memeli fetüsleri dâhil canlı insan dışı omurgalıları ve canlı kafadanbacaklıları kapsar.</w:t>
      </w:r>
      <w:r>
        <w:rPr>
          <w:rStyle w:val="FootnoteReference"/>
        </w:rPr>
        <w:footnoteReference w:id="8"/>
      </w:r>
      <w:r>
        <w:rPr>
          <w:rFonts w:ascii="Times New Roman" w:cs="Times New Roman" w:eastAsia="Times New Roman" w:hAnsi="Times New Roman"/>
          <w:sz w:val="24"/>
          <w:szCs w:val="24"/>
        </w:rPr>
        <w:t xml:space="preserve"> Kapsam türe göre olduğu kadar prosedüre göre de belirlenir. "Prosedür", bir hayvanın deneysel, diğer bilimsel veya eğitim amaçlarıyla, iyi veteriner hekimlik uygulamasına uygun olarak bir iğne batırılmasının yol açtığına eşdeğer veya daha fazla acı, ızdırap, sıkıntı veya kalıcı hasara neden olabilecek her türlü kullanımıdır.</w:t>
      </w:r>
      <w:r>
        <w:rPr>
          <w:rStyle w:val="FootnoteReference"/>
        </w:rPr>
        <w:footnoteReference w:id="9"/>
      </w:r>
      <w:r>
        <w:rPr>
          <w:rFonts w:ascii="Times New Roman" w:cs="Times New Roman" w:eastAsia="Times New Roman" w:hAnsi="Times New Roman"/>
          <w:sz w:val="24"/>
          <w:szCs w:val="24"/>
        </w:rPr>
        <w:t xml:space="preserve"> Madde 1(5), türden bağımsız olarak altı kategoriyi kapsam dışında bırakır: deneysel olmayan tarımsal uygulamalar; deneysel olmayan klinik veteriner uygulamaları; bir veteriner tıbbi ürününün pazarlama izni için gerekli veteriner klinik çalışmaları; tanınmış hayvancılık amaçlarıyla yapılan uygulamalar; birincil amacı hayvanın tanımlanması olan uygulamalar ve iğne batırma eşiğine eşdeğer acıya yol açması muhtemel olmayan uygulamalar.</w:t>
      </w:r>
      <w:r>
        <w:rPr>
          <w:rStyle w:val="FootnoteReference"/>
        </w:rPr>
        <w:footnoteReference w:id="10"/>
      </w:r>
      <w:r>
        <w:rPr>
          <w:rFonts w:ascii="Times New Roman" w:cs="Times New Roman" w:eastAsia="Times New Roman" w:hAnsi="Times New Roman"/>
          <w:sz w:val="24"/>
          <w:szCs w:val="24"/>
        </w:rPr>
        <w:t xml:space="preserve"> Dolayısıyla 3(1). maddedeki karşılaştırma ölçütü, düzenlenen alan içinde bir şiddet tabanı değil; neyin hiç düzenlendiği ile neyin Direktifin dışında kaldığı arasındaki, 15. madde kapsamındaki herhangi bir sınıflandırmadan önce çizilen sınırdır. Hayvanların yalnızca organ veya dokuları için öldürülmesi prosedür tanımının dışında tutulmuş, ancak düzenlenmeye devam etmiştir: 6. madde, öldürmenin yetkili bir kuruluşta, yetkin bir kişi tarafından, Ek IV'te sayılan bir yöntemle ve en az acıyla yapılmasını gerektirir.</w:t>
      </w:r>
      <w:r>
        <w:rPr>
          <w:rStyle w:val="FootnoteReference"/>
        </w:rPr>
        <w:footnoteReference w:id="11"/>
      </w:r>
      <w:r>
        <w:rPr>
          <w:rFonts w:ascii="Times New Roman" w:cs="Times New Roman" w:eastAsia="Times New Roman" w:hAnsi="Times New Roman"/>
          <w:sz w:val="24"/>
          <w:szCs w:val="24"/>
        </w:rPr>
        <w:t xml:space="preserve"> Sonuç iki yollu bir yapıdır: doku amaçlı öldürme proje iznine ve şiddet sınıflandırmasına tabi değildir, ancak Direktifin refah ve yetkinlik şartlarından kurtulmaz. Bir hayvanın organ veya dokularının kullanılabilmesi için özel olarak yetiştirilmesi, onu 1(2). madde uyarınca kapsama sokar; böylece yetiştirici kuruluşlara, bakıma ve kayıt tutmaya ilişkin kurallar uygulanır.</w:t>
      </w:r>
    </w:p>
    <w:p>
      <w:pPr>
        <w:keepNext/>
        <w:spacing w:after="160" w:before="280" w:line="240"/>
        <w:jc w:val="left"/>
      </w:pPr>
      <w:r>
        <w:rPr>
          <w:rFonts w:ascii="Times New Roman" w:cs="Times New Roman" w:eastAsia="Times New Roman" w:hAnsi="Times New Roman"/>
          <w:b/>
          <w:bCs/>
          <w:sz w:val="24"/>
          <w:szCs w:val="24"/>
        </w:rPr>
        <w:t xml:space="preserve">2.2. Türk düzenlemeleri</w:t>
      </w:r>
    </w:p>
    <w:p>
      <w:pPr>
        <w:spacing w:after="160" w:line="240"/>
        <w:ind w:firstLine="425"/>
        <w:jc w:val="both"/>
      </w:pPr>
      <w:r>
        <w:rPr>
          <w:rFonts w:ascii="Times New Roman" w:cs="Times New Roman" w:eastAsia="Times New Roman" w:hAnsi="Times New Roman"/>
          <w:sz w:val="24"/>
          <w:szCs w:val="24"/>
        </w:rPr>
        <w:t xml:space="preserve">Refah Yönetmeliği üç kanuna dayanır: 5996 sayılı Veteriner Hizmetleri, Bitki Sağlığı, Gıda ve Yem Kanunu, 5199 sayılı Kanun ve 5977 sayılı Biyogüvenlik Kanunu.</w:t>
      </w:r>
      <w:r>
        <w:rPr>
          <w:rStyle w:val="FootnoteReference"/>
        </w:rPr>
        <w:footnoteReference w:id="12"/>
      </w:r>
      <w:r>
        <w:rPr>
          <w:rFonts w:ascii="Times New Roman" w:cs="Times New Roman" w:eastAsia="Times New Roman" w:hAnsi="Times New Roman"/>
          <w:sz w:val="24"/>
          <w:szCs w:val="24"/>
        </w:rPr>
        <w:t xml:space="preserve"> Yönetmelik Direktife paralel olarak hazırlandığını belirtir ve kapsam ile tanım hükümleri doğrudan bir aktarım olarak okunur.</w:t>
      </w:r>
      <w:r>
        <w:rPr>
          <w:rStyle w:val="FootnoteReference"/>
        </w:rPr>
        <w:footnoteReference w:id="13"/>
      </w:r>
      <w:r>
        <w:rPr>
          <w:rFonts w:ascii="Times New Roman" w:cs="Times New Roman" w:eastAsia="Times New Roman" w:hAnsi="Times New Roman"/>
          <w:sz w:val="24"/>
          <w:szCs w:val="24"/>
        </w:rPr>
        <w:t xml:space="preserve"> Madde 2(1)(c); canlı insan dışı omurgalıları, bağımsız beslenen larva formlarını, gelişimlerinin son üçte birindeki memeli fetüslerini ve canlı kafadanbacaklıları kapsamakta ve Direktifin 1(3). maddesiyle birebir örtüşmektedir. Madde 2(1)(ç), daha erken gelişim aşamalarına ilişkin 1(4). maddeyi yeniden üretir; 2(1)(b) ise acı anestezi veya analjeziyle başarıyla giderilse bile kullanımı kapsam içinde tutar. Madde 4(s), "prosedür"ü iğne batırma ölçütü ve yalnızca organ veya doku için öldürmenin istisnası dâhil, Direktifin 3(1). maddesiyle neredeyse aynı ifadelerle tanımlar. Madde 2(2)'deki istisnalar Direktifin 1(5). maddesindeki altı kategorinin tamamına karşılık gelir.</w:t>
      </w:r>
    </w:p>
    <w:p>
      <w:pPr>
        <w:spacing w:after="160" w:line="240"/>
        <w:ind w:firstLine="425"/>
        <w:jc w:val="both"/>
      </w:pPr>
      <w:r>
        <w:rPr>
          <w:rFonts w:ascii="Times New Roman" w:cs="Times New Roman" w:eastAsia="Times New Roman" w:hAnsi="Times New Roman"/>
          <w:sz w:val="24"/>
          <w:szCs w:val="24"/>
        </w:rPr>
        <w:t xml:space="preserve">5199 sayılı Kanun daha eski ve daha geniş bir tanım katmanı içerir. Deneyi herhangi bir hayvanın deneysel veya diğer bilimsel amaçlarla acı, eziyet, üzüntü veya uzun süreli hasara neden olacak şekilde kullanılması; deney hayvanını ise bir deneyde kullanılan veya kullanılacak herhangi bir hayvan olarak tanımlar.</w:t>
      </w:r>
      <w:r>
        <w:rPr>
          <w:rStyle w:val="FootnoteReference"/>
        </w:rPr>
        <w:footnoteReference w:id="14"/>
      </w:r>
      <w:r>
        <w:rPr>
          <w:rFonts w:ascii="Times New Roman" w:cs="Times New Roman" w:eastAsia="Times New Roman" w:hAnsi="Times New Roman"/>
          <w:sz w:val="24"/>
          <w:szCs w:val="24"/>
        </w:rPr>
        <w:t xml:space="preserve"> Kanuni tanımın taksonomik bir sınırı yoktur ve Kanun başka bir yerde yaban hayvanlarını omurgasızları da içerecek biçimde tanımlar; iğne batırma ölçütü içermez; eğitim amaçlarına veya sonucu bilinen ya da bilinmeyen prosedürlere de değinmez.</w:t>
      </w:r>
      <w:r>
        <w:rPr>
          <w:rStyle w:val="FootnoteReference"/>
        </w:rPr>
        <w:footnoteReference w:id="15"/>
      </w:r>
      <w:r>
        <w:rPr>
          <w:rFonts w:ascii="Times New Roman" w:cs="Times New Roman" w:eastAsia="Times New Roman" w:hAnsi="Times New Roman"/>
          <w:sz w:val="24"/>
          <w:szCs w:val="24"/>
        </w:rPr>
        <w:t xml:space="preserve"> Direktifle uyumlu kapsam bu nedenle yalnızca uygulama yönetmelikleri düzeyinde mevcuttur ve 5199 sayılı Kanunun 9. maddesindeki kanuni şartların dış sınırını kanun değil yönetmelik belirler. Bu nokta dar ama gerçektir: bilimsel amaç, yalnızca başka seçenek olmadığında kullanım ve etik kurul izni şeklindeki kanuni koşullar, herhangi bir tür sınırı gözetilmeksizin hayvanlar için yazılmıştır. Kanun uyarınca yetkili bakanlık, 2018'den bu yana iki yönetmeliğin başlangıçta refahtan sorumlu tarım bakanlığı ile etik kurullardan sorumlu orman ve su işleri bakanlığı arasında paylaştırdığı yetkileri elinde bulunduran Tarım ve Orman Bakanlığıdır.</w:t>
      </w:r>
      <w:r>
        <w:rPr>
          <w:rStyle w:val="FootnoteReference"/>
        </w:rPr>
        <w:footnoteReference w:id="16"/>
      </w:r>
    </w:p>
    <w:p>
      <w:pPr>
        <w:spacing w:after="160" w:line="240"/>
        <w:ind w:firstLine="425"/>
        <w:jc w:val="both"/>
      </w:pPr>
      <w:r>
        <w:rPr>
          <w:rFonts w:ascii="Times New Roman" w:cs="Times New Roman" w:eastAsia="Times New Roman" w:hAnsi="Times New Roman"/>
          <w:sz w:val="24"/>
          <w:szCs w:val="24"/>
        </w:rPr>
        <w:t xml:space="preserve">Doku amaçlı öldürme kısmen Kanunda da düzenlenmiştir. 5199 sayılı Kanun, tıbbi amaçlar dışında canlı bir hayvanın organ veya dokularının çıkarılmasını ve ölüm tespit edilmeden önce tedavi amacı dışındaki müdahaleleri yasaklar; öldürmeden sorumlu olanları ölümün tespiti ve leşin bertarafından sorumlu tutar; doğum, gebelik ve emzirme dönemlerinde öldürmeyi yasaklar ancak tıbbi ve bilimsel gerekçeleri açıkça istisna tutar.</w:t>
      </w:r>
      <w:r>
        <w:rPr>
          <w:rStyle w:val="FootnoteReference"/>
        </w:rPr>
        <w:footnoteReference w:id="17"/>
      </w:r>
      <w:r>
        <w:rPr>
          <w:rFonts w:ascii="Times New Roman" w:cs="Times New Roman" w:eastAsia="Times New Roman" w:hAnsi="Times New Roman"/>
          <w:sz w:val="24"/>
          <w:szCs w:val="24"/>
        </w:rPr>
        <w:t xml:space="preserve"> Böylece Türk hukuku, öldürmeyi prosedür tanımının dışında tutup yine de düzenleyen Direktifin iki yollu yapısını yeniden üretmekte ve ikinci yolun bir kısmını birincil mevzuata dayandırmaktadır.</w:t>
      </w:r>
    </w:p>
    <w:p>
      <w:pPr>
        <w:spacing w:after="160" w:line="240"/>
        <w:ind w:firstLine="425"/>
        <w:jc w:val="both"/>
      </w:pPr>
      <w:r>
        <w:rPr>
          <w:rFonts w:ascii="Times New Roman" w:cs="Times New Roman" w:eastAsia="Times New Roman" w:hAnsi="Times New Roman"/>
          <w:sz w:val="24"/>
          <w:szCs w:val="24"/>
        </w:rPr>
        <w:t xml:space="preserve">Yapısal bir özelliğin AB'de karşılığı yoktur. 2019'dan bu yana sucul omurgalılar ayrı bir düzenleme olan Sucul Yönetmelikle düzenlenmektedir. Bu yönetmelik balıkları, iki yaşamlıları, deniz memelileri dışındaki sucul sürüngenleri, yuvarlak ağızlıları ve kafadanbacaklıları kapsamakta ve değişikliklerinden bu yana Bakanlığın Balıkçılık ve Su Ürünleri Genel Müdürlüğü bünyesinde kendi kuruluş izinlerini ve kendi merkezi ve yerel etik kurullarını işletmektedir.</w:t>
      </w:r>
      <w:r>
        <w:rPr>
          <w:rStyle w:val="FootnoteReference"/>
        </w:rPr>
        <w:footnoteReference w:id="18"/>
      </w:r>
      <w:r>
        <w:rPr>
          <w:rFonts w:ascii="Times New Roman" w:cs="Times New Roman" w:eastAsia="Times New Roman" w:hAnsi="Times New Roman"/>
          <w:sz w:val="24"/>
          <w:szCs w:val="24"/>
        </w:rPr>
        <w:t xml:space="preserve"> Dolayısıyla Direktifin kapsamı iki Türk yönetmeliğine bölünmüştür ve kafadanbacaklıların korunmasının Türk hukukundaki yeri sucul düzenlemedir. Bu bölünme önemlidir; çünkü 2020'de Türkiye'de kullanılan en büyük hayvan grubu %37 ile balıklardır.</w:t>
      </w:r>
      <w:r>
        <w:rPr>
          <w:rStyle w:val="FootnoteReference"/>
        </w:rPr>
        <w:footnoteReference w:id="19"/>
      </w:r>
      <w:r>
        <w:rPr>
          <w:rFonts w:ascii="Times New Roman" w:cs="Times New Roman" w:eastAsia="Times New Roman" w:hAnsi="Times New Roman"/>
          <w:sz w:val="24"/>
          <w:szCs w:val="24"/>
        </w:rPr>
        <w:t xml:space="preserve"> Kapsam ve tanımlar bakımından iki rejim aynı sorulara aynı yanıtı vermektedir; ayrışmalar başka yerdedir.</w:t>
      </w:r>
    </w:p>
    <w:p>
      <w:pPr>
        <w:keepNext/>
        <w:spacing w:after="160" w:before="280" w:line="240"/>
        <w:jc w:val="left"/>
      </w:pPr>
      <w:r>
        <w:rPr>
          <w:rFonts w:ascii="Times New Roman" w:cs="Times New Roman" w:eastAsia="Times New Roman" w:hAnsi="Times New Roman"/>
          <w:b/>
          <w:bCs/>
          <w:sz w:val="24"/>
          <w:szCs w:val="24"/>
        </w:rPr>
        <w:t xml:space="preserve">3. İzin ve proje değerlendirmesi</w:t>
      </w:r>
    </w:p>
    <w:p>
      <w:pPr>
        <w:keepNext/>
        <w:spacing w:after="160" w:before="280" w:line="240"/>
        <w:jc w:val="left"/>
      </w:pPr>
      <w:r>
        <w:rPr>
          <w:rFonts w:ascii="Times New Roman" w:cs="Times New Roman" w:eastAsia="Times New Roman" w:hAnsi="Times New Roman"/>
          <w:b/>
          <w:bCs/>
          <w:sz w:val="24"/>
          <w:szCs w:val="24"/>
        </w:rPr>
        <w:t xml:space="preserve">3.1. Direktif</w:t>
      </w:r>
    </w:p>
    <w:p>
      <w:pPr>
        <w:spacing w:after="160" w:line="240"/>
        <w:ind w:firstLine="425"/>
        <w:jc w:val="both"/>
      </w:pPr>
      <w:r>
        <w:rPr>
          <w:rFonts w:ascii="Times New Roman" w:cs="Times New Roman" w:eastAsia="Times New Roman" w:hAnsi="Times New Roman"/>
          <w:sz w:val="24"/>
          <w:szCs w:val="24"/>
        </w:rPr>
        <w:t xml:space="preserve">Direktif, kuruluş iznini proje izninden ayırır ve her ikisini de her Üye Devletin belirlediği, proje izni dâhil belirli görevleri başka kuruluşlara devredebilen bir yetkili makama verir.</w:t>
      </w:r>
      <w:r>
        <w:rPr>
          <w:rStyle w:val="FootnoteReference"/>
        </w:rPr>
        <w:footnoteReference w:id="20"/>
      </w:r>
      <w:r>
        <w:rPr>
          <w:rFonts w:ascii="Times New Roman" w:cs="Times New Roman" w:eastAsia="Times New Roman" w:hAnsi="Times New Roman"/>
          <w:sz w:val="24"/>
          <w:szCs w:val="24"/>
        </w:rPr>
        <w:t xml:space="preserve"> Değerlendirmenin özü bu takdir yetkisiyle birlikte devredilmez. Olumlu bir değerlendirme olmaksızın hiçbir proje yürütülemez; değerlendirme ise projenin amaçlarını, prosedürlerin şiddetini ve hayvanlara verilen zararın, etik değerlendirmeler dikkate alınarak, beklenen sonuçla haklı kılınıp kılınmadığını ölçen bir zarar-yarar analizini tartmalıdır.</w:t>
      </w:r>
      <w:r>
        <w:rPr>
          <w:rStyle w:val="FootnoteReference"/>
        </w:rPr>
        <w:footnoteReference w:id="21"/>
      </w:r>
      <w:r>
        <w:rPr>
          <w:rFonts w:ascii="Times New Roman" w:cs="Times New Roman" w:eastAsia="Times New Roman" w:hAnsi="Times New Roman"/>
          <w:sz w:val="24"/>
          <w:szCs w:val="24"/>
        </w:rPr>
        <w:t xml:space="preserve"> Değerlendirme bilimsel alan, deney tasarımı, veteriner bakımı ve hayvan yetiştiriciliği uzmanlığına dayanmalı ve tarafsız olmalıdır.</w:t>
      </w:r>
      <w:r>
        <w:rPr>
          <w:rStyle w:val="FootnoteReference"/>
        </w:rPr>
        <w:footnoteReference w:id="22"/>
      </w:r>
      <w:r>
        <w:rPr>
          <w:rFonts w:ascii="Times New Roman" w:cs="Times New Roman" w:eastAsia="Times New Roman" w:hAnsi="Times New Roman"/>
          <w:sz w:val="24"/>
          <w:szCs w:val="24"/>
        </w:rPr>
        <w:t xml:space="preserve"> Başvuru sahiplerine eksiksiz bir başvurudan itibaren 40 iş günü içinde bildirim yapılmalıdır; bu süre bir defaya mahsus en fazla 15 iş günü uzatılabilir.</w:t>
      </w:r>
      <w:r>
        <w:rPr>
          <w:rStyle w:val="FootnoteReference"/>
        </w:rPr>
        <w:footnoteReference w:id="23"/>
      </w:r>
      <w:r>
        <w:rPr>
          <w:rFonts w:ascii="Times New Roman" w:cs="Times New Roman" w:eastAsia="Times New Roman" w:hAnsi="Times New Roman"/>
          <w:sz w:val="24"/>
          <w:szCs w:val="24"/>
        </w:rPr>
        <w:t xml:space="preserve"> İzin en fazla beş yıl için verilebilir.</w:t>
      </w:r>
      <w:r>
        <w:rPr>
          <w:rStyle w:val="FootnoteReference"/>
        </w:rPr>
        <w:footnoteReference w:id="24"/>
      </w:r>
      <w:r>
        <w:rPr>
          <w:rFonts w:ascii="Times New Roman" w:cs="Times New Roman" w:eastAsia="Times New Roman" w:hAnsi="Times New Roman"/>
          <w:sz w:val="24"/>
          <w:szCs w:val="24"/>
        </w:rPr>
        <w:t xml:space="preserve"> İnsan dışı primat kullanan veya şiddetli olarak sınıflandırılan prosedürler içeren projeler geriye dönük değerlendirmeye tabidir; yetkili makam da izin verilen projelerin anonim olan ve beklenen zarar ve yararları, hayvanların sayısını ve türünü ve 3R'nin nasıl karşılandığını belirten teknik olmayan özetlerini yayımlamalıdır.</w:t>
      </w:r>
      <w:r>
        <w:rPr>
          <w:rStyle w:val="FootnoteReference"/>
        </w:rPr>
        <w:footnoteReference w:id="25"/>
      </w:r>
      <w:r>
        <w:rPr>
          <w:rFonts w:ascii="Times New Roman" w:cs="Times New Roman" w:eastAsia="Times New Roman" w:hAnsi="Times New Roman"/>
          <w:sz w:val="24"/>
          <w:szCs w:val="24"/>
        </w:rPr>
        <w:t xml:space="preserve"> Ayrıca her kuruluş, asgari olarak hayvanların refah ve bakımından sorumlu kişiden ve kullanıcı kuruluşlarda bir bilimsel üyeden oluşan ve görevlendirilmiş veteriner hekimin katkı sunduğu bir hayvan refahı organı kurmalıdır. Bu organın görevleri istişaridir: personele refah, temin, barındırma, bakım ve 3R uygulaması konularında rehberlik eder, ancak proje izni vermez.</w:t>
      </w:r>
      <w:r>
        <w:rPr>
          <w:rStyle w:val="FootnoteReference"/>
        </w:rPr>
        <w:footnoteReference w:id="26"/>
      </w:r>
      <w:r>
        <w:rPr>
          <w:rFonts w:ascii="Times New Roman" w:cs="Times New Roman" w:eastAsia="Times New Roman" w:hAnsi="Times New Roman"/>
          <w:sz w:val="24"/>
          <w:szCs w:val="24"/>
        </w:rPr>
        <w:t xml:space="preserve"> Direktif böylece üç işlevi birbirinden ayırır: kuruluş içindeki danışmanlık, devredilebilen değerlendirme ve yetkili makamın işlemi olarak kalan izin.</w:t>
      </w:r>
    </w:p>
    <w:p>
      <w:pPr>
        <w:keepNext/>
        <w:spacing w:after="160" w:before="280" w:line="240"/>
        <w:jc w:val="left"/>
      </w:pPr>
      <w:r>
        <w:rPr>
          <w:rFonts w:ascii="Times New Roman" w:cs="Times New Roman" w:eastAsia="Times New Roman" w:hAnsi="Times New Roman"/>
          <w:b/>
          <w:bCs/>
          <w:sz w:val="24"/>
          <w:szCs w:val="24"/>
        </w:rPr>
        <w:t xml:space="preserve">3.2. Türk hukuku</w:t>
      </w:r>
    </w:p>
    <w:p>
      <w:pPr>
        <w:spacing w:after="160" w:line="240"/>
        <w:ind w:firstLine="425"/>
        <w:jc w:val="both"/>
      </w:pPr>
      <w:r>
        <w:rPr>
          <w:rFonts w:ascii="Times New Roman" w:cs="Times New Roman" w:eastAsia="Times New Roman" w:hAnsi="Times New Roman"/>
          <w:sz w:val="24"/>
          <w:szCs w:val="24"/>
        </w:rPr>
        <w:t xml:space="preserve">Refah Yönetmeliği uyarınca kuruluş ruhsatlandırması iki aşamada yürür. Valilik, veteriner hekimlerden oluşan bir komisyonun yerinde incelemesinin ardından bir yıllık kuruluş izni verir; Bakanlığın Genel Müdürlüğü de ikinci bir incelemeden sonra on yıllık çalışma izni verir.</w:t>
      </w:r>
      <w:r>
        <w:rPr>
          <w:rStyle w:val="FootnoteReference"/>
        </w:rPr>
        <w:footnoteReference w:id="27"/>
      </w:r>
      <w:r>
        <w:rPr>
          <w:rFonts w:ascii="Times New Roman" w:cs="Times New Roman" w:eastAsia="Times New Roman" w:hAnsi="Times New Roman"/>
          <w:sz w:val="24"/>
          <w:szCs w:val="24"/>
        </w:rPr>
        <w:t xml:space="preserve"> İzinli bir kullanıcı kuruluş dışındaki prosedürler, proje süresince ve en fazla üç yıl geçerli olan bir il müdürlüğü iznini gerektirir.</w:t>
      </w:r>
      <w:r>
        <w:rPr>
          <w:rStyle w:val="FootnoteReference"/>
        </w:rPr>
        <w:footnoteReference w:id="28"/>
      </w:r>
      <w:r>
        <w:rPr>
          <w:rFonts w:ascii="Times New Roman" w:cs="Times New Roman" w:eastAsia="Times New Roman" w:hAnsi="Times New Roman"/>
          <w:sz w:val="24"/>
          <w:szCs w:val="24"/>
        </w:rPr>
        <w:t xml:space="preserve"> İzinli bir kuruluşun içinde ise yerel etik kurul, Refah Yönetmeliği uyarınca vaka bazında kullanılan bir dizi yetkiye sahiptir. Uzun süreli şiddetli acı içeren prosedürlere, hayvanların tekrar kullanımına ve bilimsel gerekçeyle listelenmiş türlerin izinsiz kaynaklardan temin edilmesine izin verebilir; ilgili bakanlığın izniyle doğadan alınmış hayvanların kullanılması yasağına istisna getirebilir; ayrıca yerine koyma ve azaltma ilkelerini ve yetiştirme, bakım ve barındırma dışında iyileştirme ilkesini uygular.</w:t>
      </w:r>
      <w:r>
        <w:rPr>
          <w:rStyle w:val="FootnoteReference"/>
        </w:rPr>
        <w:footnoteReference w:id="29"/>
      </w:r>
      <w:r>
        <w:rPr>
          <w:rFonts w:ascii="Times New Roman" w:cs="Times New Roman" w:eastAsia="Times New Roman" w:hAnsi="Times New Roman"/>
          <w:sz w:val="24"/>
          <w:szCs w:val="24"/>
        </w:rPr>
        <w:t xml:space="preserve"> Her kuruluşta, oluşumu ve istişari görevleri Direktifin 26. ve 27. maddelerini yansıtan bir hayvan refahı birimi de bulunmalıdır.</w:t>
      </w:r>
      <w:r>
        <w:rPr>
          <w:rStyle w:val="FootnoteReference"/>
        </w:rPr>
        <w:footnoteReference w:id="30"/>
      </w:r>
    </w:p>
    <w:p>
      <w:pPr>
        <w:spacing w:after="160" w:line="240"/>
        <w:ind w:firstLine="425"/>
        <w:jc w:val="both"/>
      </w:pPr>
      <w:r>
        <w:rPr>
          <w:rFonts w:ascii="Times New Roman" w:cs="Times New Roman" w:eastAsia="Times New Roman" w:hAnsi="Times New Roman"/>
          <w:sz w:val="24"/>
          <w:szCs w:val="24"/>
        </w:rPr>
        <w:t xml:space="preserve">Proje izni birincil mevzuata dayanır. 5199 sayılı Kanunun 9. maddesi, kurumların hayvan deneylerini ancak kendi bünyelerinde kurulmuş etik kurullar yoluyla yapabilmesine izin verir ve kurulların oluşumunu ve çalışma usulünü bir bakanlık yönetmeliğine bırakır.</w:t>
      </w:r>
      <w:r>
        <w:rPr>
          <w:rStyle w:val="FootnoteReference"/>
        </w:rPr>
        <w:footnoteReference w:id="31"/>
      </w:r>
      <w:r>
        <w:rPr>
          <w:rFonts w:ascii="Times New Roman" w:cs="Times New Roman" w:eastAsia="Times New Roman" w:hAnsi="Times New Roman"/>
          <w:sz w:val="24"/>
          <w:szCs w:val="24"/>
        </w:rPr>
        <w:t xml:space="preserve"> Söz konusu düzenleme, Refah Yönetmeliği gibi Direktife paralel olarak çıkarılmış olan Etik Kurul Yönetmeliğidir.</w:t>
      </w:r>
      <w:r>
        <w:rPr>
          <w:rStyle w:val="FootnoteReference"/>
        </w:rPr>
        <w:footnoteReference w:id="32"/>
      </w:r>
      <w:r>
        <w:rPr>
          <w:rFonts w:ascii="Times New Roman" w:cs="Times New Roman" w:eastAsia="Times New Roman" w:hAnsi="Times New Roman"/>
          <w:sz w:val="24"/>
          <w:szCs w:val="24"/>
        </w:rPr>
        <w:t xml:space="preserve"> Merkezi kurul olan HADMEK; bakanlıklar, veteriner ve tıp fakülteleri, meslek birlikleri, TÜBİTAK ve bir hayvan koruma kuruluşundan gelen 21 üyeden oluşur. Etik ilkeleri belirler, yerel yönergeleri onaylar ve askıya alır, yerel kurulları denetler, itirazları inceler, eğitim kurallarını belirler ve yıllık istatistikleri yayımlamakla yükümlüdür.</w:t>
      </w:r>
      <w:r>
        <w:rPr>
          <w:rStyle w:val="FootnoteReference"/>
        </w:rPr>
        <w:footnoteReference w:id="33"/>
      </w:r>
      <w:r>
        <w:rPr>
          <w:rFonts w:ascii="Times New Roman" w:cs="Times New Roman" w:eastAsia="Times New Roman" w:hAnsi="Times New Roman"/>
          <w:sz w:val="24"/>
          <w:szCs w:val="24"/>
        </w:rPr>
        <w:t xml:space="preserve"> Yerel kurul ancak kurumun izinli bir hayvan ünitesi bulunması hâlinde kurulabilir ve hem yerel kurul hem de hayvan refahı birimi olmadan hiçbir deney yapılamaz. Her yerel kurul 5 ile 21 arasında üyeden oluşur; bunlar arasında bir yıllık deneyime ve kullanım sertifikasına sahip tam zamanlı bir veteriner hekim, hayvan kullanan birimlerin temsilcileri, çıkar çatışması olmayan ve hayvan araştırması yapmayan bir vatandaş ve kurumla bağı olmayan bir sivil toplum kuruluşu üyesi bulunur. En az bir üyenin canlı hayvanlar üzerindeki deneylerde bir yıllık deneyimle birlikte doktora veya tıpta uzmanlık derecesine sahip olması gerekir.</w:t>
      </w:r>
      <w:r>
        <w:rPr>
          <w:rStyle w:val="FootnoteReference"/>
        </w:rPr>
        <w:footnoteReference w:id="34"/>
      </w:r>
      <w:r>
        <w:rPr>
          <w:rFonts w:ascii="Times New Roman" w:cs="Times New Roman" w:eastAsia="Times New Roman" w:hAnsi="Times New Roman"/>
          <w:sz w:val="24"/>
          <w:szCs w:val="24"/>
        </w:rPr>
        <w:t xml:space="preserve"> HADMEK üç ayda bir, üçte iki toplantı yeter sayısıyla toplanır; yerel kurullar en az ayda bir, üçte iki toplantı yeter sayısıyla toplanır, oy çokluğuyla karar verir ve üyeler kendi başvurularının görüşülmesine katılmaz.</w:t>
      </w:r>
      <w:r>
        <w:rPr>
          <w:rStyle w:val="FootnoteReference"/>
        </w:rPr>
        <w:footnoteReference w:id="35"/>
      </w:r>
    </w:p>
    <w:p>
      <w:pPr>
        <w:spacing w:after="160" w:line="240"/>
        <w:ind w:firstLine="425"/>
        <w:jc w:val="both"/>
      </w:pPr>
      <w:r>
        <w:rPr>
          <w:rFonts w:ascii="Times New Roman" w:cs="Times New Roman" w:eastAsia="Times New Roman" w:hAnsi="Times New Roman"/>
          <w:sz w:val="24"/>
          <w:szCs w:val="24"/>
        </w:rPr>
        <w:t xml:space="preserve">Değerlendirmenin kendisi Direktifi yakından izler. Projeler sekiz ölçüte göre değerlendirilir: bilimsel, eğitsel veya yasal gerekçe; hayvan kullanımının gerekçesi; insancıl ve çevreye duyarlı tasarım; beklenen yarar; 3R'ye uygunluk; şiddet sınıflandırması; "elde edilecek yarar ile hayvanların çekeceği acı" ve öldürme, anestezi, tekrar kullanım ve barındırmanın mevzuata uygunluğu ile geriye dönük değerlendirme ihtiyacı.</w:t>
      </w:r>
      <w:r>
        <w:rPr>
          <w:rStyle w:val="FootnoteReference"/>
        </w:rPr>
        <w:footnoteReference w:id="36"/>
      </w:r>
      <w:r>
        <w:rPr>
          <w:rFonts w:ascii="Times New Roman" w:cs="Times New Roman" w:eastAsia="Times New Roman" w:hAnsi="Times New Roman"/>
          <w:sz w:val="24"/>
          <w:szCs w:val="24"/>
        </w:rPr>
        <w:t xml:space="preserve"> Değerlendiriciler 3R, deney tasarımı, hayvan deneyleri, yaban hayatı veya hayvan bakımı alanlarındaki uzmanlıklarına göre seçilir ve değerlendirme şeffaf ve tarafsız olmalıdır.</w:t>
      </w:r>
      <w:r>
        <w:rPr>
          <w:rStyle w:val="FootnoteReference"/>
        </w:rPr>
        <w:footnoteReference w:id="37"/>
      </w:r>
      <w:r>
        <w:rPr>
          <w:rFonts w:ascii="Times New Roman" w:cs="Times New Roman" w:eastAsia="Times New Roman" w:hAnsi="Times New Roman"/>
          <w:sz w:val="24"/>
          <w:szCs w:val="24"/>
        </w:rPr>
        <w:t xml:space="preserve"> Kurul 40 iş günü içinde karar verir; bu süre gerekçe gösterilerek bir defaya mahsus en fazla 15 iş günü uzatılabilir; izinler en fazla beş yıl geçerlidir; başvurular Direktifin içerik ve anonimlik şartlarını karşılayan teknik olmayan bir özet içermelidir ve primat veya şiddetli prosedür kullanan projeler için geriye dönük değerlendirme zorunludur.</w:t>
      </w:r>
      <w:r>
        <w:rPr>
          <w:rStyle w:val="FootnoteReference"/>
        </w:rPr>
        <w:footnoteReference w:id="38"/>
      </w:r>
      <w:r>
        <w:rPr>
          <w:rFonts w:ascii="Times New Roman" w:cs="Times New Roman" w:eastAsia="Times New Roman" w:hAnsi="Times New Roman"/>
          <w:sz w:val="24"/>
          <w:szCs w:val="24"/>
        </w:rPr>
        <w:t xml:space="preserve"> Sınırlı sayıda faaliyet onaydan muaftır: klinik tanı ve tedavi, ölü hayvanlar veya dokular üzerinde çalışma, süt sağımı ve dışkı veya sürüntü örneği alınması.</w:t>
      </w:r>
      <w:r>
        <w:rPr>
          <w:rStyle w:val="FootnoteReference"/>
        </w:rPr>
        <w:footnoteReference w:id="39"/>
      </w:r>
      <w:r>
        <w:rPr>
          <w:rFonts w:ascii="Times New Roman" w:cs="Times New Roman" w:eastAsia="Times New Roman" w:hAnsi="Times New Roman"/>
          <w:sz w:val="24"/>
          <w:szCs w:val="24"/>
        </w:rPr>
        <w:t xml:space="preserve"> Doğrudan okunduğunda yönetmelik, yalnızca kanunların karşılaştırılmasının açık bırakacağı kurumsal soruların çoğunu yanıtlamaktadır ve yanıtlarının neredeyse tamamı Direktifle örtüşmektedir. Bu noktalarda Türk metni, zarar-yarar şartının unsurlarını aktarım sırasında farklı ifade eden veya çıkaran bazı Üye Devletlerin aktarım kanunlarına kıyasla Direktifin ifadesine daha yakındır. Örneğin Danimarka bir projenin yararlılığından söz etmekte ve etik değerlendirmelere yer vermemekte, Finlandiya sonuç unsurunu çıkarmaktadır; analizin nasıl yapılacağına ilişkin ulusal rehberler ise yalnızca Fransa, Hollanda, İsviçre ve Birleşik Krallık'ta ve Brüksel için bir bölgesel belgede bulunmaktadır.</w:t>
      </w:r>
      <w:r>
        <w:rPr>
          <w:rStyle w:val="FootnoteReference"/>
        </w:rPr>
        <w:footnoteReference w:id="40"/>
      </w:r>
    </w:p>
    <w:p>
      <w:pPr>
        <w:keepNext/>
        <w:spacing w:after="160" w:before="280" w:line="240"/>
        <w:jc w:val="left"/>
      </w:pPr>
      <w:r>
        <w:rPr>
          <w:rFonts w:ascii="Times New Roman" w:cs="Times New Roman" w:eastAsia="Times New Roman" w:hAnsi="Times New Roman"/>
          <w:b/>
          <w:bCs/>
          <w:sz w:val="24"/>
          <w:szCs w:val="24"/>
        </w:rPr>
        <w:t xml:space="preserve">3.3. İki ayrışma</w:t>
      </w:r>
    </w:p>
    <w:p>
      <w:pPr>
        <w:spacing w:after="160" w:line="240"/>
        <w:ind w:firstLine="425"/>
        <w:jc w:val="both"/>
      </w:pPr>
      <w:r>
        <w:rPr>
          <w:rFonts w:ascii="Times New Roman" w:cs="Times New Roman" w:eastAsia="Times New Roman" w:hAnsi="Times New Roman"/>
          <w:sz w:val="24"/>
          <w:szCs w:val="24"/>
        </w:rPr>
        <w:t xml:space="preserve">Birinci ayrışma bağımsızlıktır. Direktif uyarınca kamu makamı dışındaki kuruluşlar yetkili makamın görevlerini ancak her türlü çıkar çatışmasından arınmış olmaları hâlinde yerine getirebilir.</w:t>
      </w:r>
      <w:r>
        <w:rPr>
          <w:rStyle w:val="FootnoteReference"/>
        </w:rPr>
        <w:footnoteReference w:id="41"/>
      </w:r>
      <w:r>
        <w:rPr>
          <w:rFonts w:ascii="Times New Roman" w:cs="Times New Roman" w:eastAsia="Times New Roman" w:hAnsi="Times New Roman"/>
          <w:sz w:val="24"/>
          <w:szCs w:val="24"/>
        </w:rPr>
        <w:t xml:space="preserve"> Türkiye'de ise kullanıcı kurumun içindeki bir kurul hem değerlendirir hem de izin verir. Kurulun başkanı ve veteriner hekimi o kurumun çalışanı olmalıdır; tüm üyeleri rektör veya kurum yöneticisi atar ve asgari beş üyeden yalnızca ikisinin kurumla bağı bulunmaması gerekir.</w:t>
      </w:r>
      <w:r>
        <w:rPr>
          <w:rStyle w:val="FootnoteReference"/>
        </w:rPr>
        <w:footnoteReference w:id="42"/>
      </w:r>
      <w:r>
        <w:rPr>
          <w:rFonts w:ascii="Times New Roman" w:cs="Times New Roman" w:eastAsia="Times New Roman" w:hAnsi="Times New Roman"/>
          <w:sz w:val="24"/>
          <w:szCs w:val="24"/>
        </w:rPr>
        <w:t xml:space="preserve"> Böylece 15(3). maddedeki tarafsızlık şartı, projenin yürütülmesini isteyen kurumun içine yerleştirilmekte; dış denetim ise HADMEK'in itiraz üzerine yaptığı inceleme ve bir kurulun faaliyetini durdurma yetkisiyle sınırlı kalmaktadır.</w:t>
      </w:r>
      <w:r>
        <w:rPr>
          <w:rStyle w:val="FootnoteReference"/>
        </w:rPr>
        <w:footnoteReference w:id="43"/>
      </w:r>
      <w:r>
        <w:rPr>
          <w:rFonts w:ascii="Times New Roman" w:cs="Times New Roman" w:eastAsia="Times New Roman" w:hAnsi="Times New Roman"/>
          <w:sz w:val="24"/>
          <w:szCs w:val="24"/>
        </w:rPr>
        <w:t xml:space="preserve"> Direktif değerlendirmenin bir kamu makamınca yapılmasını şart koşmaz; devre izin verir ve kurumsal kurullar birçok Üye Devlette rol oynar. Direktifin şart koştuğu, izin kararının bir yetkili makamda ya da çıkar çatışmasından arınmış bir kuruluşta bulunması ve değerlendirmenin tarafsız olmasıdır. Türk tasarımı iki aşamayı sonuçta çıkarı olan kurumda birleştirmekte ve tarafsızlığı yapısal ayrılık yerine oluşum kurallarına dayanarak güvence altına almaya çalışmaktadır. Başkan, veteriner hekim ve diğer temsilciler aynı yöneticinin atadığı çalışanlar olduğunda, asgari beş üyeden iki bağımsız üye mütevazı bir güvencedir. Sucul sistem daha da zayıftır. 2022 değişikliğinden bu yana her izinli sucul tesiste, 2024'te yeniden yapılandırılan bir merkezi sucul kurulun (SOCMEK) altında, beş ila on bir üyeli bir sucul yerel kurul (SOCYEK) bulunmalıdır. Başkan ve sorumlu yönetici kurum çalışanı olmalı, tüm üyeleri rektör veya kurum yöneticisi atamalıdır ve hayvanlarla ilgili bir sivil toplum kuruluşundan gelen yalnızca bir üyenin kurumla bağı bulunmaması gerekir. Bakanlığın üst düzey bir yetkilisinin başkanlık ettiği SOCMEK, yerel yönergeleri onaylar, yerel kurulları denetler ve sucul hayvan kullanımına ilişkin yıllık istatistikleri toplayıp yayımlamakla yükümlüdür.</w:t>
      </w:r>
      <w:r>
        <w:rPr>
          <w:rStyle w:val="FootnoteReference"/>
        </w:rPr>
        <w:footnoteReference w:id="44"/>
      </w:r>
    </w:p>
    <w:p>
      <w:pPr>
        <w:spacing w:after="160" w:line="240"/>
        <w:ind w:firstLine="425"/>
        <w:jc w:val="both"/>
      </w:pPr>
      <w:r>
        <w:rPr>
          <w:rFonts w:ascii="Times New Roman" w:cs="Times New Roman" w:eastAsia="Times New Roman" w:hAnsi="Times New Roman"/>
          <w:sz w:val="24"/>
          <w:szCs w:val="24"/>
        </w:rPr>
        <w:t xml:space="preserve">İkinci ayrışma, yönetmelik ile her kurulun kendisi için yazdığı ve HADMEK'in onaylaması gereken yönergeler arasındaki kaymadır.</w:t>
      </w:r>
      <w:r>
        <w:rPr>
          <w:rStyle w:val="FootnoteReference"/>
        </w:rPr>
        <w:footnoteReference w:id="45"/>
      </w:r>
      <w:r>
        <w:rPr>
          <w:rFonts w:ascii="Times New Roman" w:cs="Times New Roman" w:eastAsia="Times New Roman" w:hAnsi="Times New Roman"/>
          <w:sz w:val="24"/>
          <w:szCs w:val="24"/>
        </w:rPr>
        <w:t xml:space="preserve"> Bu çalışma için üç yönerge okunmuştur. İzmir Yüksek Teknoloji Enstitüsü'nün yönergesi, 40 iş günlük süre ve yarar-acı ölçütü dâhil yönetmeliği yeniden üretmektedir. İstanbul Medipol Üniversitesi'nin yönergesi ise kararların "en geç iki toplantı içinde" verilmesini öngörmekte, yönetmeliğin üçte iki öngördüğü yerde salt çoğunluk toplantı yeter sayısı belirlemekte ve çalışma ilkeleri arasında yarar-acı testine yer vermemektedir. İstanbul Üniversitesi-Cerrahpaşa'nın 2021'de HADMEK tarafından onaylanan yönergesi yalnızca taranmış kopya olarak elde edilebilmiş ve ayrıntılı olarak incelenmemiştir.</w:t>
      </w:r>
      <w:r>
        <w:rPr>
          <w:rStyle w:val="FootnoteReference"/>
        </w:rPr>
        <w:footnoteReference w:id="46"/>
      </w:r>
      <w:r>
        <w:rPr>
          <w:rFonts w:ascii="Times New Roman" w:cs="Times New Roman" w:eastAsia="Times New Roman" w:hAnsi="Times New Roman"/>
          <w:sz w:val="24"/>
          <w:szCs w:val="24"/>
        </w:rPr>
        <w:t xml:space="preserve"> Üç yönergelik bir örneklem sistemin bütünü hakkında hiçbir şey kanıtlamaz; ancak yönetmeliğin standartlarının, merkezi onaydan sonra bile, her kurulun kendi kurallarına değişmeden ulaşmadığını göstermektedir.</w:t>
      </w:r>
    </w:p>
    <w:p>
      <w:pPr>
        <w:spacing w:after="160" w:line="240"/>
        <w:ind w:firstLine="425"/>
        <w:jc w:val="both"/>
      </w:pPr>
      <w:r>
        <w:rPr>
          <w:rFonts w:ascii="Times New Roman" w:cs="Times New Roman" w:eastAsia="Times New Roman" w:hAnsi="Times New Roman"/>
          <w:sz w:val="24"/>
          <w:szCs w:val="24"/>
        </w:rPr>
        <w:t xml:space="preserve">5199 sayılı Kanun maddi eşikleri de doğrudan ortaya koyar: hayvanlar bilimsel olmayan deneylerde kullanılamaz; korunmalı, uygun biçimde bakılmalı ve barındırılmalıdır ve ancak "başkaca bir seçenek olmaması halinde" kullanılabilir.</w:t>
      </w:r>
      <w:r>
        <w:rPr>
          <w:rStyle w:val="FootnoteReference"/>
        </w:rPr>
        <w:footnoteReference w:id="47"/>
      </w:r>
      <w:r>
        <w:rPr>
          <w:rFonts w:ascii="Times New Roman" w:cs="Times New Roman" w:eastAsia="Times New Roman" w:hAnsi="Times New Roman"/>
          <w:sz w:val="24"/>
          <w:szCs w:val="24"/>
        </w:rPr>
        <w:t xml:space="preserve"> Bir kanuni denetim aracının Direktifte karşılığı yoktur: deney hayvanlarının ithalatı ve ihracatı bakanlık iznine tabidir.</w:t>
      </w:r>
      <w:r>
        <w:rPr>
          <w:rStyle w:val="FootnoteReference"/>
        </w:rPr>
        <w:footnoteReference w:id="48"/>
      </w:r>
    </w:p>
    <w:p>
      <w:pPr>
        <w:keepNext/>
        <w:spacing w:after="160" w:before="280" w:line="240"/>
        <w:jc w:val="left"/>
      </w:pPr>
      <w:r>
        <w:rPr>
          <w:rFonts w:ascii="Times New Roman" w:cs="Times New Roman" w:eastAsia="Times New Roman" w:hAnsi="Times New Roman"/>
          <w:b/>
          <w:bCs/>
          <w:sz w:val="24"/>
          <w:szCs w:val="24"/>
        </w:rPr>
        <w:t xml:space="preserve">4. Şiddet sınıflandırması ve 3R</w:t>
      </w:r>
    </w:p>
    <w:p>
      <w:pPr>
        <w:spacing w:after="160" w:line="240"/>
        <w:ind w:firstLine="425"/>
        <w:jc w:val="both"/>
      </w:pPr>
      <w:r>
        <w:rPr>
          <w:rFonts w:ascii="Times New Roman" w:cs="Times New Roman" w:eastAsia="Times New Roman" w:hAnsi="Times New Roman"/>
          <w:sz w:val="24"/>
          <w:szCs w:val="24"/>
        </w:rPr>
        <w:t xml:space="preserve">Metin düzeyinde iki rejim neredeyse aynıdır. Direktifin 4. maddesi yerine koyma, azaltma ve iyileştirmeyi bağlayıcı yükümlülükler olarak düzenler; Refah Yönetmeliğinin 26. maddesi aynı yapıyı yansıtır ve 5199 sayılı Kanun yerine koymayı ve genel, iyileştirme türünde bir yükümlülüğü kanun düzeyinde bağımsız olarak ifade eder.</w:t>
      </w:r>
      <w:r>
        <w:rPr>
          <w:rStyle w:val="FootnoteReference"/>
        </w:rPr>
        <w:footnoteReference w:id="49"/>
      </w:r>
      <w:r>
        <w:rPr>
          <w:rFonts w:ascii="Times New Roman" w:cs="Times New Roman" w:eastAsia="Times New Roman" w:hAnsi="Times New Roman"/>
          <w:sz w:val="24"/>
          <w:szCs w:val="24"/>
        </w:rPr>
        <w:t xml:space="preserve"> Azaltmanın kanuni bir dayanağı yoktur. Hayvanların ancak başka seçenek olmaması hâlinde kullanılabileceği formülüyle yerine koymanın birincil mevzuata yerleştirilmesi, bir bakıma, ilkenin ulusal uygulama kurallarıyla aktarılan AB ikincil hukukunda yer aldığı Direktifin kendi yapısından daha güçlüdür. Şiddet sınıflandırması da örtüşmektedir: Refah Yönetmeliğinin 22. maddesi, Direktifin Ek VIII'ini yeniden üreten Ek-8 ölçütlerini kullanarak Direktifin 15. maddesiyle aynı vaka bazlı, dört kademeli sınıflandırmayı gerektirir; Sucul Yönetmeliğin Ek-3'ü de aynısını yapar.</w:t>
      </w:r>
      <w:r>
        <w:rPr>
          <w:rStyle w:val="FootnoteReference"/>
        </w:rPr>
        <w:footnoteReference w:id="50"/>
      </w:r>
      <w:r>
        <w:rPr>
          <w:rFonts w:ascii="Times New Roman" w:cs="Times New Roman" w:eastAsia="Times New Roman" w:hAnsi="Times New Roman"/>
          <w:sz w:val="24"/>
          <w:szCs w:val="24"/>
        </w:rPr>
        <w:t xml:space="preserve"> Yöntem seçimi ve anesteziye ilişkin kurallar da Direktifin 13. ve 14. maddelerini benzer yakınlıkta izler.</w:t>
      </w:r>
    </w:p>
    <w:p>
      <w:pPr>
        <w:spacing w:after="160" w:line="240"/>
        <w:ind w:firstLine="425"/>
        <w:jc w:val="both"/>
      </w:pPr>
      <w:r>
        <w:rPr>
          <w:rFonts w:ascii="Times New Roman" w:cs="Times New Roman" w:eastAsia="Times New Roman" w:hAnsi="Times New Roman"/>
          <w:sz w:val="24"/>
          <w:szCs w:val="24"/>
        </w:rPr>
        <w:t xml:space="preserve">Bir ayrışma varlığını sürdürmektedir ve bu ayrışma tanımsal değil kurumsaldır. Direktifin 15(2). maddesi, uzun süreli olması muhtemel ve giderilemeyen şiddetli acı, ızdırap veya sıkıntı içeren prosedürleri yasaklar. İstisna, bir Üye Devletin koruma hükmüne başvurarak geçici bir tedbir kabul etmesini ve Komisyon ile diğer Üye Devletlere derhâl bildirmesini gerektirir.</w:t>
      </w:r>
      <w:r>
        <w:rPr>
          <w:rStyle w:val="FootnoteReference"/>
        </w:rPr>
        <w:footnoteReference w:id="51"/>
      </w:r>
      <w:r>
        <w:rPr>
          <w:rFonts w:ascii="Times New Roman" w:cs="Times New Roman" w:eastAsia="Times New Roman" w:hAnsi="Times New Roman"/>
          <w:sz w:val="24"/>
          <w:szCs w:val="24"/>
        </w:rPr>
        <w:t xml:space="preserve"> Refah Yönetmeliği aynı istisnaya izin verir, ancak bu yetkiyi bilimsel gerekçeyle vaka bazında kullanılmak üzere herhangi bir yerel etik kurula tanır; Sucul Yönetmelik de kuralı tekrarlar; sonraki değişiklikler hiçbirini değiştirmemiştir.</w:t>
      </w:r>
      <w:r>
        <w:rPr>
          <w:rStyle w:val="FootnoteReference"/>
        </w:rPr>
        <w:footnoteReference w:id="52"/>
      </w:r>
      <w:r>
        <w:rPr>
          <w:rFonts w:ascii="Times New Roman" w:cs="Times New Roman" w:eastAsia="Times New Roman" w:hAnsi="Times New Roman"/>
          <w:sz w:val="24"/>
          <w:szCs w:val="24"/>
        </w:rPr>
        <w:t xml:space="preserve"> Etik Kurul Yönetmeliği iki güvence ekler: kurul, şiddetli ve uzun süreli prosedürlere izin vermeden önce yararı hayvanların çekeceği acıyla tartmalıdır ve bu tür projeler geriye dönük değerlendirmeye tabidir.</w:t>
      </w:r>
      <w:r>
        <w:rPr>
          <w:rStyle w:val="FootnoteReference"/>
        </w:rPr>
        <w:footnoteReference w:id="53"/>
      </w:r>
      <w:r>
        <w:rPr>
          <w:rFonts w:ascii="Times New Roman" w:cs="Times New Roman" w:eastAsia="Times New Roman" w:hAnsi="Times New Roman"/>
          <w:sz w:val="24"/>
          <w:szCs w:val="24"/>
        </w:rPr>
        <w:t xml:space="preserve"> Türk metinlerinin içermediği şey, ulusal bir makama herhangi bir bildirimdir. Birliğin uluslararası görünürlük gerektiren bir devlet tedbiri olarak ele aldığı bir karar, Türkiye'de yerel bir kurulun sonradan incelenen takdir yetkisidir.</w:t>
      </w:r>
    </w:p>
    <w:p>
      <w:pPr>
        <w:spacing w:after="160" w:line="240"/>
        <w:ind w:firstLine="425"/>
        <w:jc w:val="both"/>
      </w:pPr>
      <w:r>
        <w:rPr>
          <w:rFonts w:ascii="Times New Roman" w:cs="Times New Roman" w:eastAsia="Times New Roman" w:hAnsi="Times New Roman"/>
          <w:sz w:val="24"/>
          <w:szCs w:val="24"/>
        </w:rPr>
        <w:t xml:space="preserve">Bu ayrışmanın ötesinde metinler iki rejimi birbirinden ayırmaz: her ikisi de kâğıt üzerinde bağlayıcıdır. Bağlayıcılığın ne anlama geldiği de tartışmalıdır. Grimm ve Dusseldorp, 3R'nin norm teorisi anlamında ilkeler, yani içeriklerinin mümkün olan en yüksek düzeyde gerçekleştirilmesini emreden ve Direktifin tam yerine koyma hedefiyle ölçülen buyruklar olduğunu ileri sürer.</w:t>
      </w:r>
      <w:r>
        <w:rPr>
          <w:rStyle w:val="FootnoteReference"/>
        </w:rPr>
        <w:footnoteReference w:id="54"/>
      </w:r>
      <w:r>
        <w:rPr>
          <w:rFonts w:ascii="Times New Roman" w:cs="Times New Roman" w:eastAsia="Times New Roman" w:hAnsi="Times New Roman"/>
          <w:sz w:val="24"/>
          <w:szCs w:val="24"/>
        </w:rPr>
        <w:t xml:space="preserve"> Hiçbir rejimin metni, değerlendirme organlarının hangi okumayı uygulaması gerektiğini söylemez. Sınıflandırma ve 3R yükümlülüklerinin karşılaştırılabilir bir titizlikle uygulanıp uygulanmadığı, 6. bölümde dönülecek olan bir uygulama kapasitesi sorusudur.</w:t>
      </w:r>
    </w:p>
    <w:p>
      <w:pPr>
        <w:keepNext/>
        <w:spacing w:after="160" w:before="280" w:line="240"/>
        <w:jc w:val="left"/>
      </w:pPr>
      <w:r>
        <w:rPr>
          <w:rFonts w:ascii="Times New Roman" w:cs="Times New Roman" w:eastAsia="Times New Roman" w:hAnsi="Times New Roman"/>
          <w:b/>
          <w:bCs/>
          <w:sz w:val="24"/>
          <w:szCs w:val="24"/>
        </w:rPr>
        <w:t xml:space="preserve">5. Personel yetkinliği</w:t>
      </w:r>
    </w:p>
    <w:p>
      <w:pPr>
        <w:spacing w:after="160" w:line="240"/>
        <w:ind w:firstLine="425"/>
        <w:jc w:val="both"/>
      </w:pPr>
      <w:r>
        <w:rPr>
          <w:rFonts w:ascii="Times New Roman" w:cs="Times New Roman" w:eastAsia="Times New Roman" w:hAnsi="Times New Roman"/>
          <w:sz w:val="24"/>
          <w:szCs w:val="24"/>
        </w:rPr>
        <w:t xml:space="preserve">Direktifin 23. maddesi, dört işlevden herhangi biri yerine getirilmeden önce yeterli öğrenim ve eğitim alınmasını gerektirir: prosedür uygulamak, prosedür ve proje tasarlamak, hayvanlara bakmak ve hayvanları öldürmek. Tasarlayanlar ayrıca ilgili bir bilimsel disiplinde eğitim almış ve türe özgü bilgiye sahip olmalıdır; diğer işlevlerdeki personel ise yetkinliğini gösterene kadar gözetim altında çalışır.</w:t>
      </w:r>
      <w:r>
        <w:rPr>
          <w:rStyle w:val="FootnoteReference"/>
        </w:rPr>
        <w:footnoteReference w:id="55"/>
      </w:r>
      <w:r>
        <w:rPr>
          <w:rFonts w:ascii="Times New Roman" w:cs="Times New Roman" w:eastAsia="Times New Roman" w:hAnsi="Times New Roman"/>
          <w:sz w:val="24"/>
          <w:szCs w:val="24"/>
        </w:rPr>
        <w:t xml:space="preserve"> Refah Yönetmeliğinin 32. maddesi bu dört işlevli yapıyı tasarlayanlara özgü kurallar ve gözetim kurallarıyla birlikte yeniden üretir; Ek-10'u, Direktifin Ek V'ini birebir karşılayan on bir asgari eğitim unsuru sayar; Sucul Yönetmeliğin Ek-4'ü de aynı listeyi tekrarlar.</w:t>
      </w:r>
      <w:r>
        <w:rPr>
          <w:rStyle w:val="FootnoteReference"/>
        </w:rPr>
        <w:footnoteReference w:id="56"/>
      </w:r>
      <w:r>
        <w:rPr>
          <w:rFonts w:ascii="Times New Roman" w:cs="Times New Roman" w:eastAsia="Times New Roman" w:hAnsi="Times New Roman"/>
          <w:sz w:val="24"/>
          <w:szCs w:val="24"/>
        </w:rPr>
        <w:t xml:space="preserve"> Dolayısıyla müfredat Direktifle örtüşmektedir. Farklı olan, bu müfredatı kimin tamamlaması gerektiği ve kimin sertifikalandırdığıdır.</w:t>
      </w:r>
    </w:p>
    <w:p>
      <w:pPr>
        <w:spacing w:after="160" w:line="240"/>
        <w:ind w:firstLine="425"/>
        <w:jc w:val="both"/>
      </w:pPr>
      <w:r>
        <w:rPr>
          <w:rFonts w:ascii="Times New Roman" w:cs="Times New Roman" w:eastAsia="Times New Roman" w:hAnsi="Times New Roman"/>
          <w:sz w:val="24"/>
          <w:szCs w:val="24"/>
        </w:rPr>
        <w:t xml:space="preserve">Türk rejimi 23. maddeden birbirine zıt iki yönde ayrılır. Eğitim konusunda daha gevşektir. 1 Ocak 2013'ten itibaren sorumlu yöneticinin deney hayvanlarıyla en az iki yıllık deneyimi olmalıdır; Ek-10 eğitimini tamamlaması gerekenler yalnızca bu deneyime sahip olmayan yöneticiler ve prosedür uygulayan kişilerdir.</w:t>
      </w:r>
      <w:r>
        <w:rPr>
          <w:rStyle w:val="FootnoteReference"/>
        </w:rPr>
        <w:footnoteReference w:id="57"/>
      </w:r>
      <w:r>
        <w:rPr>
          <w:rFonts w:ascii="Times New Roman" w:cs="Times New Roman" w:eastAsia="Times New Roman" w:hAnsi="Times New Roman"/>
          <w:sz w:val="24"/>
          <w:szCs w:val="24"/>
        </w:rPr>
        <w:t xml:space="preserve"> Böylece deneyim eğitimin yerine geçebilmektedir; 23. madde buna izin vermez. Sucul Yönetmelik daha da ileri gider: iki yıllık deneyim veya Ek-4 eğitimi yöneticilik için yeterlidir ve doktora derecesine sahip üniversite yöneticileri ve araştırıcıları eğitimden tamamen muaftır.</w:t>
      </w:r>
      <w:r>
        <w:rPr>
          <w:rStyle w:val="FootnoteReference"/>
        </w:rPr>
        <w:footnoteReference w:id="58"/>
      </w:r>
    </w:p>
    <w:p>
      <w:pPr>
        <w:spacing w:after="160" w:line="240"/>
        <w:ind w:firstLine="425"/>
        <w:jc w:val="both"/>
      </w:pPr>
      <w:r>
        <w:rPr>
          <w:rFonts w:ascii="Times New Roman" w:cs="Times New Roman" w:eastAsia="Times New Roman" w:hAnsi="Times New Roman"/>
          <w:sz w:val="24"/>
          <w:szCs w:val="24"/>
        </w:rPr>
        <w:t xml:space="preserve">Meslek konusunda ise daha katıdır. Refah Yönetmeliği sorumlu yöneticiyi veteriner hekim olarak tanımlar ve hayvanlar veteriner hekim tarafından veya onun gözetiminde öldürülür.</w:t>
      </w:r>
      <w:r>
        <w:rPr>
          <w:rStyle w:val="FootnoteReference"/>
        </w:rPr>
        <w:footnoteReference w:id="59"/>
      </w:r>
      <w:r>
        <w:rPr>
          <w:rFonts w:ascii="Times New Roman" w:cs="Times New Roman" w:eastAsia="Times New Roman" w:hAnsi="Times New Roman"/>
          <w:sz w:val="24"/>
          <w:szCs w:val="24"/>
        </w:rPr>
        <w:t xml:space="preserve"> Canlı hayvanlar üzerindeki deneyler sorumlu veteriner hekimin gözetiminde yürütülür, çiftlik hayvanlarıyla çalışan araştırma ekiplerinde bir veteriner hekim bulunmalıdır ve her yerel kurulda tam zamanlı bir veteriner hekim yer almalıdır.</w:t>
      </w:r>
      <w:r>
        <w:rPr>
          <w:rStyle w:val="FootnoteReference"/>
        </w:rPr>
        <w:footnoteReference w:id="60"/>
      </w:r>
      <w:r>
        <w:rPr>
          <w:rFonts w:ascii="Times New Roman" w:cs="Times New Roman" w:eastAsia="Times New Roman" w:hAnsi="Times New Roman"/>
          <w:sz w:val="24"/>
          <w:szCs w:val="24"/>
        </w:rPr>
        <w:t xml:space="preserve"> Direktif ise yalnızca öldürmenin yetkin bir kişi tarafından yapılmasını ister ve görevlendirilmiş bir veteriner hekim yerine uygun niteliklere sahip bir uzmana izin verir; bazı veteriner hekim yazarlar bu seçeneğin kaldırılmasını savunmaktadır.</w:t>
      </w:r>
      <w:r>
        <w:rPr>
          <w:rStyle w:val="FootnoteReference"/>
        </w:rPr>
        <w:footnoteReference w:id="61"/>
      </w:r>
      <w:r>
        <w:rPr>
          <w:rFonts w:ascii="Times New Roman" w:cs="Times New Roman" w:eastAsia="Times New Roman" w:hAnsi="Times New Roman"/>
          <w:sz w:val="24"/>
          <w:szCs w:val="24"/>
        </w:rPr>
        <w:t xml:space="preserve"> Sucul Yönetmelik bu örüntüyü bozar ve su ürünleri ve balıkçılık mühendislerini, biyologları, zoologları ve hidrobiyologları da yönetici olarak kabul eder.</w:t>
      </w:r>
      <w:r>
        <w:rPr>
          <w:rStyle w:val="FootnoteReference"/>
        </w:rPr>
        <w:footnoteReference w:id="62"/>
      </w:r>
    </w:p>
    <w:p>
      <w:pPr>
        <w:spacing w:after="160" w:line="240"/>
        <w:ind w:firstLine="425"/>
        <w:jc w:val="both"/>
      </w:pPr>
      <w:r>
        <w:rPr>
          <w:rFonts w:ascii="Times New Roman" w:cs="Times New Roman" w:eastAsia="Times New Roman" w:hAnsi="Times New Roman"/>
          <w:sz w:val="24"/>
          <w:szCs w:val="24"/>
        </w:rPr>
        <w:t xml:space="preserve">Sertifikalandırma merkezî değildir. Araştırmada hayvanlarla çalışan herkesin kullanım sertifikası bulunmalıdır; kurul, personelinde sertifika bulunmayan bir projeyi onaylayamaz; her yerel kurul kendi kurslarını %80 devam ve 100 üzerinden 70 başarı notu şartıyla düzenler ve sertifika kurul başkanı ile kurum yöneticisi tarafından imzalanır; HADMEK kurs içeriğini belirler ve başka yerlerde verilmiş sertifikaların denkliğine karar verir.</w:t>
      </w:r>
      <w:r>
        <w:rPr>
          <w:rStyle w:val="FootnoteReference"/>
        </w:rPr>
        <w:footnoteReference w:id="63"/>
      </w:r>
      <w:r>
        <w:rPr>
          <w:rFonts w:ascii="Times New Roman" w:cs="Times New Roman" w:eastAsia="Times New Roman" w:hAnsi="Times New Roman"/>
          <w:sz w:val="24"/>
          <w:szCs w:val="24"/>
        </w:rPr>
        <w:t xml:space="preserve"> Kurs içeriği ilk olarak 2007 tarihli bir bakanlık genelgesiyle belirlenmiştir. Genelge üç kategori tanımlamıştır: hayvan bakıcıları için 31 saatlik A1 ile teknisyenler için A2 ve araştırmacılar için B, her biri 40 saat teorik ve 40 saat uygulamalı. HADMEK 2017'de genelgenin Direktife göre güncellenmediğini kabul etmiş ve revizyona başlamıştır; yerini alan 2019/3 sayılı Genelge yürürlüktedir ve merkezi kurulun 2026 yılı sertifika kursları listesi bu genelgeye dayanılarak yayımlanmıştır. 2019/3 sayılı Genelgenin metni bu çalışma için elde edilememiştir.</w:t>
      </w:r>
      <w:r>
        <w:rPr>
          <w:rStyle w:val="FootnoteReference"/>
        </w:rPr>
        <w:footnoteReference w:id="64"/>
      </w:r>
      <w:r>
        <w:rPr>
          <w:rFonts w:ascii="Times New Roman" w:cs="Times New Roman" w:eastAsia="Times New Roman" w:hAnsi="Times New Roman"/>
          <w:sz w:val="24"/>
          <w:szCs w:val="24"/>
        </w:rPr>
        <w:t xml:space="preserve"> Yetkinlik kurum kurum sertifikalandırıldığı için FELASA'nın fonksiyon kategorilerine sistematik bir eşleştirme yoktur ve Türk sertifikalarının yurt dışında geçerliliği kendiliğinden sağlanmaz.</w:t>
      </w:r>
      <w:r>
        <w:rPr>
          <w:rStyle w:val="FootnoteReference"/>
        </w:rPr>
        <w:footnoteReference w:id="65"/>
      </w:r>
    </w:p>
    <w:p>
      <w:pPr>
        <w:spacing w:after="160" w:line="240"/>
        <w:ind w:firstLine="425"/>
        <w:jc w:val="both"/>
      </w:pPr>
      <w:r>
        <w:rPr>
          <w:rFonts w:ascii="Times New Roman" w:cs="Times New Roman" w:eastAsia="Times New Roman" w:hAnsi="Times New Roman"/>
          <w:sz w:val="24"/>
          <w:szCs w:val="24"/>
        </w:rPr>
        <w:t xml:space="preserve">5199 sayılı Kanun bu rejimin dayanağıdır. Personel niteliklerini yönetmeliğe bırakır, fail veteriner hekim, veteriner sağlık teknisyeni veya hayvan bakıcısı olduğunda idari para cezalarını iki katına çıkarır ve hiçbir kayıt öngörmeksizin hayvanlara yapılacak tıbbi ve cerrahi müdahalelerin yalnızca veteriner hekimlerce yapılacağını öngörür.</w:t>
      </w:r>
      <w:r>
        <w:rPr>
          <w:rStyle w:val="FootnoteReference"/>
        </w:rPr>
        <w:footnoteReference w:id="66"/>
      </w:r>
      <w:r>
        <w:rPr>
          <w:rFonts w:ascii="Times New Roman" w:cs="Times New Roman" w:eastAsia="Times New Roman" w:hAnsi="Times New Roman"/>
          <w:sz w:val="24"/>
          <w:szCs w:val="24"/>
        </w:rPr>
        <w:t xml:space="preserve"> Yönetmeliklerin hiçbiri, veteriner hekim olmayan araştırmacıların onaylı bir projede veteriner hekim gözetiminde cerrahi prosedür uygulayıp uygulayamayacağını söylememektedir. 7(1). madde onları dışlayacak biçimde okunursa, bu 23. maddeden ters yönde, yani daha gevşek değil daha katı bir ayrışma anlamına gelir.</w:t>
      </w:r>
    </w:p>
    <w:p>
      <w:pPr>
        <w:keepNext/>
        <w:spacing w:after="160" w:before="280" w:line="240"/>
        <w:jc w:val="left"/>
      </w:pPr>
      <w:r>
        <w:rPr>
          <w:rFonts w:ascii="Times New Roman" w:cs="Times New Roman" w:eastAsia="Times New Roman" w:hAnsi="Times New Roman"/>
          <w:b/>
          <w:bCs/>
          <w:sz w:val="24"/>
          <w:szCs w:val="24"/>
        </w:rPr>
        <w:t xml:space="preserve">6. Denetim, yaptırımlar ve raporlama</w:t>
      </w:r>
    </w:p>
    <w:p>
      <w:pPr>
        <w:keepNext/>
        <w:spacing w:after="160" w:before="280" w:line="240"/>
        <w:jc w:val="left"/>
      </w:pPr>
      <w:r>
        <w:rPr>
          <w:rFonts w:ascii="Times New Roman" w:cs="Times New Roman" w:eastAsia="Times New Roman" w:hAnsi="Times New Roman"/>
          <w:b/>
          <w:bCs/>
          <w:sz w:val="24"/>
          <w:szCs w:val="24"/>
        </w:rPr>
        <w:t xml:space="preserve">6.1. Denetim</w:t>
      </w:r>
    </w:p>
    <w:p>
      <w:pPr>
        <w:spacing w:after="160" w:line="240"/>
        <w:ind w:firstLine="425"/>
        <w:jc w:val="both"/>
      </w:pPr>
      <w:r>
        <w:rPr>
          <w:rFonts w:ascii="Times New Roman" w:cs="Times New Roman" w:eastAsia="Times New Roman" w:hAnsi="Times New Roman"/>
          <w:sz w:val="24"/>
          <w:szCs w:val="24"/>
        </w:rPr>
        <w:t xml:space="preserve">Uluslararası düzeyde denetim sistemleri büyük farklılık gösterir ve her zaman etkili biçimde uygulandıkları kabul edilmez.</w:t>
      </w:r>
      <w:r>
        <w:rPr>
          <w:rStyle w:val="FootnoteReference"/>
        </w:rPr>
        <w:footnoteReference w:id="67"/>
      </w:r>
      <w:r>
        <w:rPr>
          <w:rFonts w:ascii="Times New Roman" w:cs="Times New Roman" w:eastAsia="Times New Roman" w:hAnsi="Times New Roman"/>
          <w:sz w:val="24"/>
          <w:szCs w:val="24"/>
        </w:rPr>
        <w:t xml:space="preserve"> Direktifin 34. maddesi, kullanıcıların her yıl en az üçte birinin risk temelli denetimini, primat tesislerinin yıllık denetimini ve denetimlerin uygun bir oranının habersiz yapılmasını gerektirir. Refah Yönetmeliği bunu aynen alır ve habersiz ziyaretler konusunda daha ileri gider: denetimler Direktifin ölçütlerini kullanan bir risk analizine göre yapılır, her yıl kuruluşların en az üçte birine ve her yıl primat tesislerine ulaşmalıdır ve en az yarısı habersiz olmalıdır.</w:t>
      </w:r>
      <w:r>
        <w:rPr>
          <w:rStyle w:val="FootnoteReference"/>
        </w:rPr>
        <w:footnoteReference w:id="68"/>
      </w:r>
      <w:r>
        <w:rPr>
          <w:rFonts w:ascii="Times New Roman" w:cs="Times New Roman" w:eastAsia="Times New Roman" w:hAnsi="Times New Roman"/>
          <w:sz w:val="24"/>
          <w:szCs w:val="24"/>
        </w:rPr>
        <w:t xml:space="preserve"> Etik Kurul Yönetmeliği tüm hükümlerini HADMEK'in görüşü doğrultusunda bakanlık denetimine tabi kılar ve HADMEK'e kurulları ve laboratuvarları denetleme konusunda kendi yetkisini tanır; 5199 sayılı Kanun da denetim yetkisini mülki amire devredilebilir biçimde Bakanlığa verir.</w:t>
      </w:r>
      <w:r>
        <w:rPr>
          <w:rStyle w:val="FootnoteReference"/>
        </w:rPr>
        <w:footnoteReference w:id="69"/>
      </w:r>
    </w:p>
    <w:p>
      <w:pPr>
        <w:spacing w:after="160" w:line="240"/>
        <w:ind w:firstLine="425"/>
        <w:jc w:val="both"/>
      </w:pPr>
      <w:r>
        <w:rPr>
          <w:rFonts w:ascii="Times New Roman" w:cs="Times New Roman" w:eastAsia="Times New Roman" w:hAnsi="Times New Roman"/>
          <w:sz w:val="24"/>
          <w:szCs w:val="24"/>
        </w:rPr>
        <w:t xml:space="preserve">İki boşluk varlığını sürdürmektedir. Sucul Yönetmelik risk analizini ve %50 habersiz denetim kuralını korumakta, ancak yıllık üçte birlik tabana yer vermemektedir; 2022 ve 2024 değişiklikleri bu maddeyi değiştirmemiştir.</w:t>
      </w:r>
      <w:r>
        <w:rPr>
          <w:rStyle w:val="FootnoteReference"/>
        </w:rPr>
        <w:footnoteReference w:id="70"/>
      </w:r>
      <w:r>
        <w:rPr>
          <w:rFonts w:ascii="Times New Roman" w:cs="Times New Roman" w:eastAsia="Times New Roman" w:hAnsi="Times New Roman"/>
          <w:sz w:val="24"/>
          <w:szCs w:val="24"/>
        </w:rPr>
        <w:t xml:space="preserve"> Taban, dolayısıyla kullanılan en büyük hayvan grubu için mevcut değildir. Tabana başka yerlerde uyulup uyulmadığına dair kamuya açık bir kayıt da yoktur. Refah Yönetmeliğinin 37. maddesi kapsamındaki bakanlık denetimlerine ilişkin herhangi bir sayı bulunamamıştır. Yayımlanmış tek rakamlar HADMEK'in kendi rakamlarıdır: 2008–2015 arasında, 22'si 2009'da yapılan ve 2012 ile 2014'te hiç yapılmayan 33 merkezi kurul denetimi.</w:t>
      </w:r>
      <w:r>
        <w:rPr>
          <w:rStyle w:val="FootnoteReference"/>
        </w:rPr>
        <w:footnoteReference w:id="71"/>
      </w:r>
      <w:r>
        <w:rPr>
          <w:rFonts w:ascii="Times New Roman" w:cs="Times New Roman" w:eastAsia="Times New Roman" w:hAnsi="Times New Roman"/>
          <w:sz w:val="24"/>
          <w:szCs w:val="24"/>
        </w:rPr>
        <w:t xml:space="preserve"> Bunlar Bakanlığın görevinden ayrı bir yoldur ve bu görevin ihlal edildiğinin kanıtı değildir; ancak gözlemlenebilir tek veri bunlardır. Yaklaşık doksan aktif yerel kurul karşısında bu sayılar, bir döngüden çok ara sıra yapılan merkezi bir incelemeyi göstermektedir. Buna karşılık Direktif, ulusal denetim sistemlerini Komisyon kontrollerine açar ve Üye Devletlerin bu sistemlerin işleyişi hakkında rapor vermesini gerektirir; böylece denetimlerin sıklığı ve sonuçları en azından Birlik düzeyinde görünür olur.</w:t>
      </w:r>
      <w:r>
        <w:rPr>
          <w:rStyle w:val="FootnoteReference"/>
        </w:rPr>
        <w:footnoteReference w:id="72"/>
      </w:r>
      <w:r>
        <w:rPr>
          <w:rFonts w:ascii="Times New Roman" w:cs="Times New Roman" w:eastAsia="Times New Roman" w:hAnsi="Times New Roman"/>
          <w:sz w:val="24"/>
          <w:szCs w:val="24"/>
        </w:rPr>
        <w:t xml:space="preserve"> Türk hukukunda bunun karşılığı yoktur; denetim sayılarının veya bulgularının yayımlanmasına ilişkin bir yükümlülük bulunmamaktadır.</w:t>
      </w:r>
    </w:p>
    <w:p>
      <w:pPr>
        <w:keepNext/>
        <w:spacing w:after="160" w:before="280" w:line="240"/>
        <w:jc w:val="left"/>
      </w:pPr>
      <w:r>
        <w:rPr>
          <w:rFonts w:ascii="Times New Roman" w:cs="Times New Roman" w:eastAsia="Times New Roman" w:hAnsi="Times New Roman"/>
          <w:b/>
          <w:bCs/>
          <w:sz w:val="24"/>
          <w:szCs w:val="24"/>
        </w:rPr>
        <w:t xml:space="preserve">6.2. Yaptırımlar</w:t>
      </w:r>
    </w:p>
    <w:p>
      <w:pPr>
        <w:spacing w:after="160" w:line="240"/>
        <w:ind w:firstLine="425"/>
        <w:jc w:val="both"/>
      </w:pPr>
      <w:r>
        <w:rPr>
          <w:rFonts w:ascii="Times New Roman" w:cs="Times New Roman" w:eastAsia="Times New Roman" w:hAnsi="Times New Roman"/>
          <w:sz w:val="24"/>
          <w:szCs w:val="24"/>
        </w:rPr>
        <w:t xml:space="preserve">Direktifin 60. maddesi etkili, orantılı ve caydırıcı yaptırımlar gerektirir; bu, Üye Devletlerin uyguladığı ve Komisyon'a bildirdiği, ihlale ve ihlal edene göre ölçeklenmek üzere bilinçli olarak açık bırakılmış nitel bir standarttır. Uluslararası düzeyde yaptırımlar para cezasından hapis cezasına, iznin veya akreditasyonun geri alınmasına kadar uzanır.</w:t>
      </w:r>
      <w:r>
        <w:rPr>
          <w:rStyle w:val="FootnoteReference"/>
        </w:rPr>
        <w:footnoteReference w:id="73"/>
      </w:r>
      <w:r>
        <w:rPr>
          <w:rFonts w:ascii="Times New Roman" w:cs="Times New Roman" w:eastAsia="Times New Roman" w:hAnsi="Times New Roman"/>
          <w:sz w:val="24"/>
          <w:szCs w:val="24"/>
        </w:rPr>
        <w:t xml:space="preserve"> Türk yaptırımları, her ikisi de sabit tarifeli iki kanuni yol üzerinden işler. Refah Yönetmeliğinin ihlalleri, faaliyetin durdurulması, iznin iptali ve el koyma ile birlikte 5996 sayılı Kanunun 36. maddesi uyarınca yaptırıma bağlanır.</w:t>
      </w:r>
      <w:r>
        <w:rPr>
          <w:rStyle w:val="FootnoteReference"/>
        </w:rPr>
        <w:footnoteReference w:id="74"/>
      </w:r>
      <w:r>
        <w:rPr>
          <w:rFonts w:ascii="Times New Roman" w:cs="Times New Roman" w:eastAsia="Times New Roman" w:hAnsi="Times New Roman"/>
          <w:sz w:val="24"/>
          <w:szCs w:val="24"/>
        </w:rPr>
        <w:t xml:space="preserve"> Temel tutarlar düşüktür: hayvanların refah, barınma veya beslenme ihtiyaçlarının karşılanmaması için hayvan başına 100 TL; onaysız faaliyet için 5.000 TL ve faaliyetten men; kayıt tutulmaması için 1.000 TL; hayvanların tanımlanmaması veya kayıt altına alınmaması için hayvan başına 50 TL ve işletme başına 200 TL.</w:t>
      </w:r>
      <w:r>
        <w:rPr>
          <w:rStyle w:val="FootnoteReference"/>
        </w:rPr>
        <w:footnoteReference w:id="75"/>
      </w:r>
      <w:r>
        <w:rPr>
          <w:rFonts w:ascii="Times New Roman" w:cs="Times New Roman" w:eastAsia="Times New Roman" w:hAnsi="Times New Roman"/>
          <w:sz w:val="24"/>
          <w:szCs w:val="24"/>
        </w:rPr>
        <w:t xml:space="preserve"> Etik Kurul Yönetmeliğinin ihlalleri ve izinsiz deneyler 5199 sayılı Kanunun 28. maddesine tabidir: 2021 esas tutarlarıyla genel uyumsuzluk için hayvan başına 1.200 TL, izinsiz deney için hayvan başına 4.500 TL.</w:t>
      </w:r>
      <w:r>
        <w:rPr>
          <w:rStyle w:val="FootnoteReference"/>
        </w:rPr>
        <w:footnoteReference w:id="76"/>
      </w:r>
      <w:r>
        <w:rPr>
          <w:rFonts w:ascii="Times New Roman" w:cs="Times New Roman" w:eastAsia="Times New Roman" w:hAnsi="Times New Roman"/>
          <w:sz w:val="24"/>
          <w:szCs w:val="24"/>
        </w:rPr>
        <w:t xml:space="preserve"> HADMEK, kurallara uymayan bir yerel kurulun faaliyetini önce bir ay, sonra altı ay durdurabilir ve ardından yönergesini iptal edebilir.</w:t>
      </w:r>
      <w:r>
        <w:rPr>
          <w:rStyle w:val="FootnoteReference"/>
        </w:rPr>
        <w:footnoteReference w:id="77"/>
      </w:r>
    </w:p>
    <w:p>
      <w:pPr>
        <w:spacing w:after="160" w:line="240"/>
        <w:ind w:firstLine="425"/>
        <w:jc w:val="both"/>
      </w:pPr>
      <w:r>
        <w:rPr>
          <w:rFonts w:ascii="Times New Roman" w:cs="Times New Roman" w:eastAsia="Times New Roman" w:hAnsi="Times New Roman"/>
          <w:sz w:val="24"/>
          <w:szCs w:val="24"/>
        </w:rPr>
        <w:t xml:space="preserve">Bu tarifelerin iki özelliği, tutarlardan daha önemlidir. Birincisi, caydırıcılık bakımından yanlış eksende ölçeklenirler. Ceza hayvan sayısıyla çarpılır, veteriner ve bakım personeli için iki katına çıkarılır, tekrarda artırılır ve hayvan besleme yasağı da uygulanabilir.</w:t>
      </w:r>
      <w:r>
        <w:rPr>
          <w:rStyle w:val="FootnoteReference"/>
        </w:rPr>
        <w:footnoteReference w:id="78"/>
      </w:r>
      <w:r>
        <w:rPr>
          <w:rFonts w:ascii="Times New Roman" w:cs="Times New Roman" w:eastAsia="Times New Roman" w:hAnsi="Times New Roman"/>
          <w:sz w:val="24"/>
          <w:szCs w:val="24"/>
        </w:rPr>
        <w:t xml:space="preserve"> Bu artırım unsurlarının hiçbiri ihlal edenin kaynaklarını izlemez; bu nedenle küçük bir akademik laboratuvar ile uluslararası sponsorlu klinik öncesi çalışma yürüten bir tesis aynı tarifeye tabidir. İkincisi, yaptırımlar yalnızca idari niteliktedir. 5199 sayılı Kanunun 28/A maddesindeki suçlar nesli tehlike altındaki hayvanların öldürülmesini, ev hayvanlarının öldürülmesini veya işkenceye maruz bırakılmasını, hayvanlara cinsel saldırıyı ve hayvan dövüştürmeyi kapsar; hiçbiri deneysel kullanım etrafında kurgulanmamıştır ve kovuşturma Bakanlığın il müdürlüğünün yazılı başvurusunu gerektirir. Deney hayvanlarına ilişkin ihlaller bu nedenle suç değil idari kabahat olarak kalmaktadır. Bir yorum sınırı açık kalmaktadır; zira 28/A(2). maddede bilimsel kullanıma ilişkin bir istisna yoktur. Ancak evcil hayvanın insanlar tarafından evcilleştirilmiş ve eğitilmiş hayvan olarak kanuni tanımı, bu hükmün özel olarak yetiştirilmiş laboratuvar hayvanlarına uygulanmasını olası kılmamaktadır.</w:t>
      </w:r>
      <w:r>
        <w:rPr>
          <w:rStyle w:val="FootnoteReference"/>
        </w:rPr>
        <w:footnoteReference w:id="79"/>
      </w:r>
      <w:r>
        <w:rPr>
          <w:rFonts w:ascii="Times New Roman" w:cs="Times New Roman" w:eastAsia="Times New Roman" w:hAnsi="Times New Roman"/>
          <w:sz w:val="24"/>
          <w:szCs w:val="24"/>
        </w:rPr>
        <w:t xml:space="preserve"> Bir diğer boşluk yalnızca Kanunda görünür: 10(7). maddedeki ithalat ve ihracat izninin karşılığında bir ceza yoktur; zira 28(f). madde 10. maddenin diğer fıkralarını yaptırıma bağlamakta, yedinci fıkrayı ise bağlamamaktadır.</w:t>
      </w:r>
    </w:p>
    <w:p>
      <w:pPr>
        <w:keepNext/>
        <w:spacing w:after="160" w:before="280" w:line="240"/>
        <w:jc w:val="left"/>
      </w:pPr>
      <w:r>
        <w:rPr>
          <w:rFonts w:ascii="Times New Roman" w:cs="Times New Roman" w:eastAsia="Times New Roman" w:hAnsi="Times New Roman"/>
          <w:b/>
          <w:bCs/>
          <w:sz w:val="24"/>
          <w:szCs w:val="24"/>
        </w:rPr>
        <w:t xml:space="preserve">6.3. Raporlama ve şeffaflık</w:t>
      </w:r>
    </w:p>
    <w:p>
      <w:pPr>
        <w:spacing w:after="160" w:line="240"/>
        <w:ind w:firstLine="425"/>
        <w:jc w:val="both"/>
      </w:pPr>
      <w:r>
        <w:rPr>
          <w:rFonts w:ascii="Times New Roman" w:cs="Times New Roman" w:eastAsia="Times New Roman" w:hAnsi="Times New Roman"/>
          <w:sz w:val="24"/>
          <w:szCs w:val="24"/>
        </w:rPr>
        <w:t xml:space="preserve">(AB) 2019/1010 sayılı Tüzükten bu yana teknik olmayan proje özetleri izinden itibaren altı ay içinde açık bir AB veri tabanında yayımlanmakta, istatistikler elektronik olarak sunulmakta ve her yıl yayımlanmaktadır.</w:t>
      </w:r>
      <w:r>
        <w:rPr>
          <w:rStyle w:val="FootnoteReference"/>
        </w:rPr>
        <w:footnoteReference w:id="80"/>
      </w:r>
      <w:r>
        <w:rPr>
          <w:rFonts w:ascii="Times New Roman" w:cs="Times New Roman" w:eastAsia="Times New Roman" w:hAnsi="Times New Roman"/>
          <w:sz w:val="24"/>
          <w:szCs w:val="24"/>
        </w:rPr>
        <w:t xml:space="preserve"> Türkiye'de bunların çoğu kâğıt üzerinde mevcuttur. Kuruluşlar yıllık kayıtlarını il müdürlüğüne sunmak, yerel kurullar HADMEK'e rapor vermek, HADMEK de yıllık ulusal istatistikleri toplayıp yayımlamak zorundadır.</w:t>
      </w:r>
      <w:r>
        <w:rPr>
          <w:rStyle w:val="FootnoteReference"/>
        </w:rPr>
        <w:footnoteReference w:id="81"/>
      </w:r>
      <w:r>
        <w:rPr>
          <w:rFonts w:ascii="Times New Roman" w:cs="Times New Roman" w:eastAsia="Times New Roman" w:hAnsi="Times New Roman"/>
          <w:sz w:val="24"/>
          <w:szCs w:val="24"/>
        </w:rPr>
        <w:t xml:space="preserve"> Her başvuruda teknik olmayan özet zorunludur; ancak özetler yalnızca Bakanlık bir veri tabanı oluşturursa yayımlanır ve böyle bir veri tabanı bulunamamıştır.</w:t>
      </w:r>
      <w:r>
        <w:rPr>
          <w:rStyle w:val="FootnoteReference"/>
        </w:rPr>
        <w:footnoteReference w:id="82"/>
      </w:r>
      <w:r>
        <w:rPr>
          <w:rFonts w:ascii="Times New Roman" w:cs="Times New Roman" w:eastAsia="Times New Roman" w:hAnsi="Times New Roman"/>
          <w:sz w:val="24"/>
          <w:szCs w:val="24"/>
        </w:rPr>
        <w:t xml:space="preserve"> HADMEK istatistiklerini çok yıllık raporlarla yayımlamıştır; daha önceki, yayımlanmamış bir merkezi kurul raporu 2008'de 148.957 hayvan saymıştır.</w:t>
      </w:r>
      <w:r>
        <w:rPr>
          <w:rStyle w:val="FootnoteReference"/>
        </w:rPr>
        <w:footnoteReference w:id="83"/>
      </w:r>
      <w:r>
        <w:rPr>
          <w:rFonts w:ascii="Times New Roman" w:cs="Times New Roman" w:eastAsia="Times New Roman" w:hAnsi="Times New Roman"/>
          <w:sz w:val="24"/>
          <w:szCs w:val="24"/>
        </w:rPr>
        <w:t xml:space="preserve"> Raporlar 2010–2014 (2015'te yayımlanan), 2015–2016 (2017), 2017 (2018) ve 2018–2020 (2021) dönemlerini kapsamaktadır. 2010–2014 raporu 2015'ten itibaren yıllık rapor yayımlanacağını taahhüt etmesine karşın seri 2020'de sona ermektedir. Birliğin rakamları bile eksiktir: her yıl sayılan yaklaşık 10 milyon hayvanın yanı sıra Direktif kapsamına giren yaklaşık 8 milyon hayvan ana sayıya dâhil edilmemiştir.</w:t>
      </w:r>
      <w:r>
        <w:rPr>
          <w:rStyle w:val="FootnoteReference"/>
        </w:rPr>
        <w:footnoteReference w:id="84"/>
      </w:r>
    </w:p>
    <w:p>
      <w:pPr>
        <w:keepNext/>
        <w:spacing w:after="100" w:before="200" w:line="240"/>
        <w:jc w:val="left"/>
      </w:pPr>
      <w:r>
        <w:rPr>
          <w:rFonts w:ascii="Times New Roman" w:cs="Times New Roman" w:eastAsia="Times New Roman" w:hAnsi="Times New Roman"/>
          <w:sz w:val="20"/>
          <w:szCs w:val="20"/>
        </w:rPr>
        <w:t xml:space="preserve">Tablo 2. Türkiye'de bilimsel amaçlarla kullanılan hayvanlar, 2010–2020, HADMEK'in raporladığı şekliyle (rakamlar raporlardaki grafiklerden okunmuştur)</w:t>
      </w:r>
      <w:r>
        <w:rPr>
          <w:rStyle w:val="FootnoteReference"/>
        </w:rPr>
        <w:footnoteReference w:id="85"/>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tblGrid>
      <w:tr>
        <w:trPr>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Yıl</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Kullanılan hayvan</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Bunun balık olanı</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270.307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55.275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201.606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50.035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173.152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54.039</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167.634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30.226</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213.366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45.894</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386.745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216.418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451.914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249.213</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265.109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132.498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236.297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68.057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213.641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76.377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2020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209.212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77.435</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Seri dalgalıdır. Toplam kullanım 2010'da 270.307 hayvandan 2013'te 167.634'e düşmüş, 2016'da 451.914 ile zirveye çıkmış ve 2020'de 209.212'ye geri dönmüştür. Balıkların payı da bununla birlikte değişmiş; 2010'da yaklaşık %20'den 2016'da %55'e ve 2020'de %37'ye ulaşmıştır. Ulusal bir seride bu büyüklükteki dalgalanmalar, araştırma faaliyetindeki değişikliklerden çok kayıt uygulamasındaki değişikliklerle daha makul biçimde açıklanabilir; bu durum aşağıda ele alınan merkezi kurul uyarılarıyla da tutarlıdır.</w:t>
      </w:r>
    </w:p>
    <w:p>
      <w:pPr>
        <w:spacing w:after="160" w:line="240"/>
        <w:ind w:firstLine="425"/>
        <w:jc w:val="both"/>
      </w:pPr>
      <w:r>
        <w:rPr>
          <w:rFonts w:ascii="Times New Roman" w:cs="Times New Roman" w:eastAsia="Times New Roman" w:hAnsi="Times New Roman"/>
          <w:sz w:val="24"/>
          <w:szCs w:val="24"/>
        </w:rPr>
        <w:t xml:space="preserve">2015–2016 zirvesi neredeyse tamamen balıklardan kaynaklanmaktadır. HADMEK'in kendisi, veteriner klinik araştırmalar deneysel kullanım olarak sayıldığı ve yerel kurulların istatistik tablolarını doldurmak için eğitime ihtiyaç duyduğu gerekçesiyle verilerin Birlik verileriyle karşılaştırılabilir olmadığı konusunda uyarmıştır; 2011'de Türkiye'deki kullanımın %14,1'i hastalık teşhisi altında kaydedilmiştir; bu oran Birlikte %1,6'dır.</w:t>
      </w:r>
      <w:r>
        <w:rPr>
          <w:rStyle w:val="FootnoteReference"/>
        </w:rPr>
        <w:footnoteReference w:id="86"/>
      </w:r>
    </w:p>
    <w:p>
      <w:pPr>
        <w:spacing w:after="160" w:line="240"/>
        <w:ind w:firstLine="425"/>
        <w:jc w:val="both"/>
      </w:pPr>
      <w:r>
        <w:rPr>
          <w:rFonts w:ascii="Times New Roman" w:cs="Times New Roman" w:eastAsia="Times New Roman" w:hAnsi="Times New Roman"/>
          <w:sz w:val="24"/>
          <w:szCs w:val="24"/>
        </w:rPr>
        <w:t xml:space="preserve">Proje düzeyinde metinler şeffaflığa karşı eğilimlidir. Refah Yönetmeliği, prosedürlerden sorumlu kişinin izni olmaksızın bu prosedürler hakkında kamuya herhangi bir açıklama yapılmasını yasaklamakta ve açıklamayı Bakanlığa bırakmakta, Sucul Yönetmelik de kuralı tekrarlamaktadır; Etik Kurul Yönetmeliği kurul yazışmalarını gizli tutarken kamuoyunun projeler hakkında objektif biçimde bilgilendirilmesini de öngörmektedir.</w:t>
      </w:r>
      <w:r>
        <w:rPr>
          <w:rStyle w:val="FootnoteReference"/>
        </w:rPr>
        <w:footnoteReference w:id="87"/>
      </w:r>
      <w:r>
        <w:rPr>
          <w:rFonts w:ascii="Times New Roman" w:cs="Times New Roman" w:eastAsia="Times New Roman" w:hAnsi="Times New Roman"/>
          <w:sz w:val="24"/>
          <w:szCs w:val="24"/>
        </w:rPr>
        <w:t xml:space="preserve"> Raporlama kamuya doğru dışarıya değil, devlete doğru içeriye akmaktadır.</w:t>
      </w:r>
    </w:p>
    <w:p>
      <w:pPr>
        <w:keepNext/>
        <w:spacing w:after="160" w:before="280" w:line="240"/>
        <w:jc w:val="left"/>
      </w:pPr>
      <w:r>
        <w:rPr>
          <w:rFonts w:ascii="Times New Roman" w:cs="Times New Roman" w:eastAsia="Times New Roman" w:hAnsi="Times New Roman"/>
          <w:b/>
          <w:bCs/>
          <w:sz w:val="24"/>
          <w:szCs w:val="24"/>
        </w:rPr>
        <w:t xml:space="preserve">7. Değerlendirme: altı ayrışma ve bir gözlemlenebilirlik boşluğu</w:t>
      </w:r>
    </w:p>
    <w:p>
      <w:pPr>
        <w:spacing w:after="160" w:line="240"/>
        <w:ind w:firstLine="425"/>
        <w:jc w:val="both"/>
      </w:pPr>
      <w:r>
        <w:rPr>
          <w:rFonts w:ascii="Times New Roman" w:cs="Times New Roman" w:eastAsia="Times New Roman" w:hAnsi="Times New Roman"/>
          <w:sz w:val="24"/>
          <w:szCs w:val="24"/>
        </w:rPr>
        <w:t xml:space="preserve">Hüküm hüküm okunduğunda Türk hukuku, 2010/63/AB sayılı Direktifin yalnızca maddi standartlarının değil kurumsal mekanizmasının da büyük bölümünün sadık bir aktarımıdır: belirli değerlendirici uzmanlıklarıyla zarar-yarar testi, karar süresi, beş yıllık izin sınırı, teknik olmayan özetler, geriye dönük değerlendirme ve Direktifin gerektirdiğinden daha yüksek oranda habersiz ziyaret içeren risk temelli bir denetim tabanı. Her biri yalnızca kanunun metinsel karşılaştırmasının düşündürdüğünden daha dar kapsamlı altı ayrışma varlığını sürdürmektedir (Tablo 1).</w:t>
      </w:r>
    </w:p>
    <w:p>
      <w:pPr>
        <w:keepNext/>
        <w:spacing w:after="100" w:before="200" w:line="240"/>
        <w:jc w:val="left"/>
      </w:pPr>
      <w:r>
        <w:rPr>
          <w:rFonts w:ascii="Times New Roman" w:cs="Times New Roman" w:eastAsia="Times New Roman" w:hAnsi="Times New Roman"/>
          <w:sz w:val="20"/>
          <w:szCs w:val="20"/>
        </w:rPr>
        <w:t xml:space="preserve">Tablo 1. Hüküm düzeyindeki karşılaştırmadan sonra varlığını sürdüren, 2010/63/AB sayılı Direktif ile Türk hukuku arasındaki ayrışmalar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100"/>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Konu</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2010/63/AB sayılı Direktif</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Türk hukuku</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Değerlendirme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Proje değerlendirmesi ve izninin bağımsızlığı</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Yetkili makam; görev devredilen kuruluşlar her türlü çıkar çatışmasından arınmış olmalıdır (md. 38(4), 59(1)).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Kurum içi kurul değerlendirir ve izin verir; başkan ve veteriner hekim kurum çalışanıdır; tüm üyeleri kurum atar; iki bağımsız üye (sucul kurullarda bir).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Tarafsızlık sivil üyelere ve itiraz üzerine merkezi incelemeye dayanır.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Uzun süreli şiddetli acı</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Üye Devlet Komisyon'a bildirilen geçici bir tedbir kabul etmedikçe yasaktır (md. 15(2), 55(3)).</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Herhangi bir yerel kurul vaka bazında izin verebilir; geriye dönük değerlendirme zorunludur; bildirim yoktur.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Birlikte devlet tedbiri olan karar Türkiye'de yerel bir karardır.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Sucul denetim ve kurullar</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Her yıl kullanıcıların en az üçte biri denetlenir (md. 34).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Sucul Yönetmelik üçte birlik tabana yer vermez; kurulda bir bağımsız üye.</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Kullanılan en büyük hayvan grubu için daha zayıf kurallar.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Şeffaflık</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Özetler bir AB veri tabanında yayımlanır; yıllık istatistikler (md. 43, 54).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Özetler yalnızca Bakanlık bir veri tabanı oluşturursa yayımlanır; gizlilik hükümleri; istatistikler 2020'de sona erer.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Uygulamada proje düzeyinde şeffaflık yoktur.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Personel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Eğitimle yetkinlik (md. 23, Ek V); yetkin kişi veya uzman (md. 6, 25).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Yöneticiler için deneyim eğitimin yerine geçebilir; sucul çalışmada doktora muafiyeti; veteriner hekim merkezli roller.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Eğitimde daha gevşek, meslekte daha katı.</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Yaptırımlar</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Etkili, orantılı ve caydırıcı (md. 60).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5996 ve 5199 sayılı Kanunlar uyarınca sabit, hayvan başına tarifeler; yalnızca idari.</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Yaptırımlar ihlal edenin kaynaklarına göre ölçeklenmez.</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Bu bulgular, Türk yönetmeliklerinin uyarlama yapılmaksızın Direktiften neredeyse kelimesi kelimesine çevrildiği yönündeki önceki eleştiriyi nitelendirmektedir.</w:t>
      </w:r>
      <w:r>
        <w:rPr>
          <w:rStyle w:val="FootnoteReference"/>
        </w:rPr>
        <w:footnoteReference w:id="88"/>
      </w:r>
      <w:r>
        <w:rPr>
          <w:rFonts w:ascii="Times New Roman" w:cs="Times New Roman" w:eastAsia="Times New Roman" w:hAnsi="Times New Roman"/>
          <w:sz w:val="24"/>
          <w:szCs w:val="24"/>
        </w:rPr>
        <w:t xml:space="preserve"> Yakın çeviri doğrulanmaktadır; ancak hüküm düzeyindeki karşılaştırma, çevirinin seçici olduğunu göstermektedir. Türk düzenlemeleri Direktifi uyarladıkları yerlerde bunu, proje izni ve şiddetli acı istisnasında olduğu gibi kararları yerelde ve kurumların içinde tutacak biçimde ya da personel kurallarında olduğu gibi veteriner hekimlik mesleğinin iç hukuktaki ağırlığını yansıtacak biçimde yapmaktadır. Eksik olan uyarlama, sistemi dışarıdan okunabilir kılacak olanıdır: özetlerin, denetim verilerinin ve güncel istatistiklerin yayımlanması.</w:t>
      </w:r>
    </w:p>
    <w:p>
      <w:pPr>
        <w:spacing w:after="160" w:line="240"/>
        <w:ind w:firstLine="425"/>
        <w:jc w:val="both"/>
      </w:pPr>
      <w:r>
        <w:rPr>
          <w:rFonts w:ascii="Times New Roman" w:cs="Times New Roman" w:eastAsia="Times New Roman" w:hAnsi="Times New Roman"/>
          <w:sz w:val="24"/>
          <w:szCs w:val="24"/>
        </w:rPr>
        <w:t xml:space="preserve">Birinci ayrışma olan bağımsızlık, en yapısal olanıdır. Bundan Türk kurullarının taraflı olduğu sonucu çıkmaz ve taraflı olduklarına dair bir kanıt bulunmamıştır; çıkan sonuç yalnızca tasarımın taraflı olmadıklarına dair dışsal bir güvence vermediğidir. İkincisi olan şiddetli acı istisnası az sayıda projeyi ama büyük bir ilkeyi ilgilendirir: Direktif uzun süreli ve giderilemeyen acıya izin verilmesini devlet sorumluluğu ve uluslararası hesap verebilirlik meselesi olarak ele alırken, Türk hukuku bunu geriye dönük incelemeye tabi yerel bir bilimsel takdir meselesi olarak görmektedir.</w:t>
      </w:r>
    </w:p>
    <w:p>
      <w:pPr>
        <w:spacing w:after="160" w:line="240"/>
        <w:ind w:firstLine="425"/>
        <w:jc w:val="both"/>
      </w:pPr>
      <w:r>
        <w:rPr>
          <w:rFonts w:ascii="Times New Roman" w:cs="Times New Roman" w:eastAsia="Times New Roman" w:hAnsi="Times New Roman"/>
          <w:sz w:val="24"/>
          <w:szCs w:val="24"/>
        </w:rPr>
        <w:t xml:space="preserve">Üçüncü ayrışma, sucul omurgalıların 2019'da ayrı bir düzenlemeye alınmasının ürünüdür. Kuralların denetim sıklığı, kurul bağımsızlığı ve eğitim muafiyetleri bakımından en zayıf olduğu grubun, son dönemde kullanımın en büyük payını oluşturan grup olması paradoksaldır. Dördüncüsü olan şeffaflık, kısmen bir ihmal meselesidir, çünkü özet veri tabanı oluşturulmamıştır; kısmen de bir tasarım meselesidir, çünkü üç hüküm açıklamayı sınırlamakta ve hiçbiri denetim sonuçlarının yayımlanmasını gerektirmemektedir.</w:t>
      </w:r>
    </w:p>
    <w:p>
      <w:pPr>
        <w:spacing w:after="160" w:line="240"/>
        <w:ind w:firstLine="425"/>
        <w:jc w:val="both"/>
      </w:pPr>
      <w:r>
        <w:rPr>
          <w:rFonts w:ascii="Times New Roman" w:cs="Times New Roman" w:eastAsia="Times New Roman" w:hAnsi="Times New Roman"/>
          <w:sz w:val="24"/>
          <w:szCs w:val="24"/>
        </w:rPr>
        <w:t xml:space="preserve">Beşinci ve altıncı ayrışmalar farklı yönlere çeker. Personel kuralları, deneyim eğitimin yerine geçebildiği için Direktiften daha gevşek, mesleki roller veteriner hekimlere ayrıldığı için de daha katıdır; yetkinlik üzerindeki net etki metinlerden değerlendirilemez. Yaptırımlar sabit, düşük ve yalnızca idari niteliktedir. İki ayrışma da tek başına iyi yönetilen bir tesisin Birlik standartlarını karşılamasını engellemez; ancak her ikisi de devletin kötü yönetilen bir tesisi buna zorlama kapasitesini zayıflatır.</w:t>
      </w:r>
    </w:p>
    <w:p>
      <w:pPr>
        <w:spacing w:after="160" w:line="240"/>
        <w:ind w:firstLine="425"/>
        <w:jc w:val="both"/>
      </w:pPr>
      <w:r>
        <w:rPr>
          <w:rFonts w:ascii="Times New Roman" w:cs="Times New Roman" w:eastAsia="Times New Roman" w:hAnsi="Times New Roman"/>
          <w:sz w:val="24"/>
          <w:szCs w:val="24"/>
        </w:rPr>
        <w:t xml:space="preserve">Daha büyük ayrışma gözlemseldir. Direktifin yükümlülükler zinciri yalnızca yazılı değildir; açık proje özetleri, yıllık istatistikler, beş yılda bir uygulama raporları ve ulusal denetim sistemlerinin Komisyon tarafından kontrolü yoluyla raporlanır da.</w:t>
      </w:r>
      <w:r>
        <w:rPr>
          <w:rStyle w:val="FootnoteReference"/>
        </w:rPr>
        <w:footnoteReference w:id="89"/>
      </w:r>
      <w:r>
        <w:rPr>
          <w:rFonts w:ascii="Times New Roman" w:cs="Times New Roman" w:eastAsia="Times New Roman" w:hAnsi="Times New Roman"/>
          <w:sz w:val="24"/>
          <w:szCs w:val="24"/>
        </w:rPr>
        <w:t xml:space="preserve"> Türkiye'nin zinciri neredeyse aynı sözcüklerle yazılmıştır; ancak performansı kamusal alanda çok az iz bırakmaktadır: 37. madde kapsamında denetim sayısı yoktur, özet veri tabanı yoktur, ulusal istatistikler 2020'de sona ermektedir ve bunları yayımlayan kurul bile karşılaştırılmalarına karşı uyarmaktadır; yerel yönergeler de her zaman yönetmeliğin standartlarını taşımamaktadır. Mevzuat büyük ölçüde yeterlidir; uygulanması ise dışarıdan kontrol edilemez. Bu anlamda gözlemlenebilirlik, bir düzenleyici rejimin hukuki bir niteliğidir. Kayıt tutma, raporlama ve yayımlama yükümlülüklerine ve kaydedileni derleyip açıklama yetkisine sahip organların varlığına bağlıdır. Direktif bu yükümlülükleri yükümlülükler zincirine yerleştirir; Türk düzenlemeleri ise kayıt yükümlülüklerinin çoğunu, yayımlama yükümlülüklerinin ise azını yeniden üretmekte ve projeler bakımından en önemli yayımlama yükümlülüğünü henüz gerçekleşmemiş bir idari işleme bağlamaktadır. Bunun uluslararası araştırma işbirliği bakımından pratik bir sonucu vardır. Bir Türk tesisine ilişkin güvence, kamusal düzenleyici kayıtlardan değil, yerel kurulun yönergesi ve toplantı tutanakları, tesisin elindeki denetim raporları, akreditasyon durumu ve sponsor denetimleri gibi tesise özgü kanıtlardan gelmeye devam etmektedir. Uluslararası akreditasyon ancak kısmi bir ikame sunmaktadır: AAALAC International akredite tek bir Türk kurumu listelemektedir.</w:t>
      </w:r>
      <w:r>
        <w:rPr>
          <w:rStyle w:val="FootnoteReference"/>
        </w:rPr>
        <w:footnoteReference w:id="90"/>
      </w:r>
      <w:r>
        <w:rPr>
          <w:rFonts w:ascii="Times New Roman" w:cs="Times New Roman" w:eastAsia="Times New Roman" w:hAnsi="Times New Roman"/>
          <w:sz w:val="24"/>
          <w:szCs w:val="24"/>
        </w:rPr>
        <w:t xml:space="preserve"> İhlal edenin kaynaklarına göre ölçeklenmeyen sabit ceza tarifeleri, uluslararası bağlantılı bir tesis için akreditasyonun veya bir sponsor sözleşmesinin kaybından daha zayıf bir caydırıcıdır.</w:t>
      </w:r>
    </w:p>
    <w:p>
      <w:pPr>
        <w:keepNext/>
        <w:spacing w:after="160" w:before="280" w:line="240"/>
        <w:jc w:val="left"/>
      </w:pPr>
      <w:r>
        <w:rPr>
          <w:rFonts w:ascii="Times New Roman" w:cs="Times New Roman" w:eastAsia="Times New Roman" w:hAnsi="Times New Roman"/>
          <w:b/>
          <w:bCs/>
          <w:sz w:val="24"/>
          <w:szCs w:val="24"/>
        </w:rPr>
        <w:t xml:space="preserve">8. Sonuç</w:t>
      </w:r>
    </w:p>
    <w:p>
      <w:pPr>
        <w:spacing w:after="160" w:line="240"/>
        <w:ind w:firstLine="425"/>
        <w:jc w:val="both"/>
      </w:pPr>
      <w:r>
        <w:rPr>
          <w:rFonts w:ascii="Times New Roman" w:cs="Times New Roman" w:eastAsia="Times New Roman" w:hAnsi="Times New Roman"/>
          <w:sz w:val="24"/>
          <w:szCs w:val="24"/>
        </w:rPr>
        <w:t xml:space="preserve">Bilimsel amaçlarla kullanılan hayvanlara ilişkin Türk hukuku zayıf değildir. Yönetmelikleri 2010/63/AB sayılı Direktifi olağanüstü bir sadakatle yeniden üretmekte ve bazı noktalarda, özellikle zarar-yarar ifadesinde ve habersiz denetimlerin oranında, Direktife bazı Üye Devletlerin kanunlarından daha yakın durmaktadır. Kalan ayrışmalar bağımsızlık, şiddetli acı istisnası, sucul denetim ve kurul oluşumu, şeffaflık, mesleki statü ile eğitim arasındaki denge ve yaptırımların yapısıyla ilgilidir. Her biri, Türk sisteminin Direktifin kurumsal kurallarından yoksun olduğu yönündeki genel iddiadan daha dar kapsamlıdır.</w:t>
      </w:r>
    </w:p>
    <w:p>
      <w:pPr>
        <w:spacing w:after="160" w:line="240"/>
        <w:ind w:firstLine="425"/>
        <w:jc w:val="both"/>
      </w:pPr>
      <w:r>
        <w:rPr>
          <w:rFonts w:ascii="Times New Roman" w:cs="Times New Roman" w:eastAsia="Times New Roman" w:hAnsi="Times New Roman"/>
          <w:sz w:val="24"/>
          <w:szCs w:val="24"/>
        </w:rPr>
        <w:t xml:space="preserve">Belirleyici boşluk uygulamadadır ve bu aynı zamanda bir araştırma boşluğudur. Türk yerel kurullarının nasıl işlediğini inceleyen hiçbir çalışma bulunamamıştır: onay oranları, 40 günlük süreye göre sonuçlanma süreleri, şiddetli acı istisnasının kullanımı veya bakanlık denetimlerinin sayısı. Betimleyici ve hukuki değerlendirmeler mevcuttur; ancak ampirik katman incelenmemiştir.</w:t>
      </w:r>
      <w:r>
        <w:rPr>
          <w:rStyle w:val="FootnoteReference"/>
        </w:rPr>
        <w:footnoteReference w:id="91"/>
      </w:r>
      <w:r>
        <w:rPr>
          <w:rFonts w:ascii="Times New Roman" w:cs="Times New Roman" w:eastAsia="Times New Roman" w:hAnsi="Times New Roman"/>
          <w:sz w:val="24"/>
          <w:szCs w:val="24"/>
        </w:rPr>
        <w:t xml:space="preserve"> Uygulanabilir ilk adım, yayımlanmış kurul yönergelerinin 2014 tarihli yönetmelikle sistematik olarak karşılaştırılması olabilir; burada okunan üç yönerge, bunun daha fazla kaymayı ortaya çıkaracağını düşündürmektedir. İkinci adım, Refah Yönetmeliğinin 37. maddesi ve Sucul Yönetmeliğin 32. maddesi uyarınca yapılan bakanlık denetimlerinin sayısına ilişkin bilgi edinme hakkı kapsamında bir başvuru olabilir. Üçüncüsü, kurulların zarar-yarar testi, 40 günlük süre ve şiddetli acı istisnasına ilişkin uygulamasını inceleyen bir anket olabilir. 5199 sayılı Kanun kapsamındaki iki yorum sorusu da uygulamayı veya içtihadı beklemektedir: cerrahi müdahalelerin yalnızca veteriner hekimlerce yapılabileceğine ilişkin kuralın onaylı bir projede kimin ameliyat yapabileceğini sınırlayıp sınırlamadığı ve herhangi bir deneysel davranışın 28/A maddesindeki suçlar kapsamına girip giremeyeceği.</w:t>
      </w:r>
    </w:p>
    <w:p>
      <w:pPr>
        <w:spacing w:after="160" w:line="240"/>
        <w:ind w:firstLine="425"/>
        <w:jc w:val="both"/>
      </w:pPr>
      <w:r>
        <w:rPr>
          <w:rFonts w:ascii="Times New Roman" w:cs="Times New Roman" w:eastAsia="Times New Roman" w:hAnsi="Times New Roman"/>
          <w:sz w:val="24"/>
          <w:szCs w:val="24"/>
        </w:rPr>
        <w:t xml:space="preserve">Gidişat belirsizdir. Uyum, antlaşma yükümlülüğü yoluyla değil, Birlik hukukunu model alan iç düzenlemeler yoluyla gerçekleşmiştir: Türkiye, Avrupa Konseyi'nin Deneysel ve Diğer Bilimsel Amaçlarla Kullanılan Omurgalı Hayvanların Korunmasına İlişkin Sözleşmesini (ETS No. 123) 1986'da imzalamıştır, ancak Sözleşme Türkiye bakımından yürürlüğe girmemiştir.</w:t>
      </w:r>
      <w:r>
        <w:rPr>
          <w:rStyle w:val="FootnoteReference"/>
        </w:rPr>
        <w:footnoteReference w:id="92"/>
      </w:r>
      <w:r>
        <w:rPr>
          <w:rFonts w:ascii="Times New Roman" w:cs="Times New Roman" w:eastAsia="Times New Roman" w:hAnsi="Times New Roman"/>
          <w:sz w:val="24"/>
          <w:szCs w:val="24"/>
        </w:rPr>
        <w:t xml:space="preserve"> Çerçeve donmuş da değildir: Sucul Yönetmelik ve değişiklikleri ile 2019 tarihli eğitim genelgesi, katılım müzakereleri durduktan sonra da revizyonun sürdüğünü göstermektedir. Türk hukukunun, Direktifin öldürme yöntemlerine ilişkin Ek IV'ünün 2024'te güncellenmesi gibi Birlik tarafındaki sonraki değişiklikleri izleyip izlemeyeceği açık bir sorudur. Katılım politikası bakımından ders şudur: 12. fasıldaki uyum taraması metinde durmamalıdır; kâğıt üzerinde Direktifle örtüşen bir rejim, Birliğin uygulamayı doğrulamak için kendisinin kullandığı raporlama altyapısından yine de yoksun olabilir. Direktifin bugün talep ettiği şeffaflık bakımından Türkiye'de eksik olan unsur, yeni bir kuraldan çok mevcut kuralların zaten gerektirdiği şeylerin yayımlanmasıdır: özetler, istatistikler ve denetim kayıtları.</w:t>
      </w:r>
    </w:p>
    <w:p>
      <w:pPr>
        <w:keepNext/>
        <w:spacing w:after="160" w:before="280" w:line="240"/>
        <w:jc w:val="left"/>
      </w:pPr>
      <w:r>
        <w:rPr>
          <w:rFonts w:ascii="Times New Roman" w:cs="Times New Roman" w:eastAsia="Times New Roman" w:hAnsi="Times New Roman"/>
          <w:b/>
          <w:bCs/>
          <w:sz w:val="24"/>
          <w:szCs w:val="24"/>
        </w:rPr>
        <w:t xml:space="preserve">Kaynakça</w:t>
      </w:r>
    </w:p>
    <w:p>
      <w:pPr>
        <w:spacing w:after="120" w:line="240"/>
        <w:ind w:left="567" w:hanging="567"/>
        <w:jc w:val="left"/>
      </w:pPr>
      <w:r>
        <w:rPr>
          <w:rFonts w:ascii="Times New Roman" w:cs="Times New Roman" w:eastAsia="Times New Roman" w:hAnsi="Times New Roman"/>
          <w:sz w:val="24"/>
          <w:szCs w:val="24"/>
        </w:rPr>
        <w:t xml:space="preserve">AAALAC International. "Directory of Accredited Organizations." Erişim tarihi 26 Ağustos 2026. https://www.aaalac.org/accreditation/directory/directory-of-accredited-organizations-search-result/.</w:t>
      </w:r>
    </w:p>
    <w:p>
      <w:pPr>
        <w:spacing w:after="120" w:line="240"/>
        <w:ind w:left="567" w:hanging="567"/>
        <w:jc w:val="left"/>
      </w:pPr>
      <w:r>
        <w:rPr>
          <w:rFonts w:ascii="Times New Roman" w:cs="Times New Roman" w:eastAsia="Times New Roman" w:hAnsi="Times New Roman"/>
          <w:sz w:val="24"/>
          <w:szCs w:val="24"/>
        </w:rPr>
        <w:t xml:space="preserve">Akben, D. "Alman hukukunda ve Türk hukukunda hayvanların korunmasının karşılaştırılması." </w:t>
      </w:r>
      <w:r>
        <w:rPr>
          <w:rFonts w:ascii="Times New Roman" w:cs="Times New Roman" w:eastAsia="Times New Roman" w:hAnsi="Times New Roman"/>
          <w:i/>
          <w:iCs/>
          <w:sz w:val="24"/>
          <w:szCs w:val="24"/>
        </w:rPr>
        <w:t xml:space="preserve">Dokuz Eylül Üniversitesi Hukuk Fakültesi Dergisi</w:t>
      </w:r>
      <w:r>
        <w:rPr>
          <w:rFonts w:ascii="Times New Roman" w:cs="Times New Roman" w:eastAsia="Times New Roman" w:hAnsi="Times New Roman"/>
          <w:sz w:val="24"/>
          <w:szCs w:val="24"/>
        </w:rPr>
        <w:t xml:space="preserve"> 25, no. 2 (2023): 1047–1102. https://doi.org/10.33717/deuhfd.1375617.</w:t>
      </w:r>
    </w:p>
    <w:p>
      <w:pPr>
        <w:spacing w:after="120" w:line="240"/>
        <w:ind w:left="567" w:hanging="567"/>
        <w:jc w:val="left"/>
      </w:pPr>
      <w:r>
        <w:rPr>
          <w:rFonts w:ascii="Times New Roman" w:cs="Times New Roman" w:eastAsia="Times New Roman" w:hAnsi="Times New Roman"/>
          <w:sz w:val="24"/>
          <w:szCs w:val="24"/>
        </w:rPr>
        <w:t xml:space="preserve">Avrupa Birliği. Bilimsel Amaçlarla Kullanılan Hayvanların Korunmasına İlişkin 22 Eylül 2010 tarihli ve 2010/63/AB sayılı Avrupa Parlamentosu ve Konsey Direktifi. </w:t>
      </w:r>
      <w:r>
        <w:rPr>
          <w:rFonts w:ascii="Times New Roman" w:cs="Times New Roman" w:eastAsia="Times New Roman" w:hAnsi="Times New Roman"/>
          <w:i/>
          <w:iCs/>
          <w:sz w:val="24"/>
          <w:szCs w:val="24"/>
        </w:rPr>
        <w:t xml:space="preserve">Avrupa Birliği Resmî Gazetesi</w:t>
      </w:r>
      <w:r>
        <w:rPr>
          <w:rFonts w:ascii="Times New Roman" w:cs="Times New Roman" w:eastAsia="Times New Roman" w:hAnsi="Times New Roman"/>
          <w:sz w:val="24"/>
          <w:szCs w:val="24"/>
        </w:rPr>
        <w:t xml:space="preserve"> L 276, 20 Ekim 2010, 33–79.</w:t>
      </w:r>
    </w:p>
    <w:p>
      <w:pPr>
        <w:spacing w:after="120" w:line="240"/>
        <w:ind w:left="567" w:hanging="567"/>
        <w:jc w:val="left"/>
      </w:pPr>
      <w:r>
        <w:rPr>
          <w:rFonts w:ascii="Times New Roman" w:cs="Times New Roman" w:eastAsia="Times New Roman" w:hAnsi="Times New Roman"/>
          <w:sz w:val="24"/>
          <w:szCs w:val="24"/>
        </w:rPr>
        <w:t xml:space="preserve">Avrupa Birliği. Çevreyle İlgili Mevzuat Alanındaki Raporlama Yükümlülüklerinin Uyumlaştırılmasına İlişkin 5 Haziran 2019 tarihli ve (AB) 2019/1010 sayılı Avrupa Parlamentosu ve Konsey Tüzüğü. </w:t>
      </w:r>
      <w:r>
        <w:rPr>
          <w:rFonts w:ascii="Times New Roman" w:cs="Times New Roman" w:eastAsia="Times New Roman" w:hAnsi="Times New Roman"/>
          <w:i/>
          <w:iCs/>
          <w:sz w:val="24"/>
          <w:szCs w:val="24"/>
        </w:rPr>
        <w:t xml:space="preserve">Avrupa Birliği Resmî Gazetesi</w:t>
      </w:r>
      <w:r>
        <w:rPr>
          <w:rFonts w:ascii="Times New Roman" w:cs="Times New Roman" w:eastAsia="Times New Roman" w:hAnsi="Times New Roman"/>
          <w:sz w:val="24"/>
          <w:szCs w:val="24"/>
        </w:rPr>
        <w:t xml:space="preserve"> L 170, 25 Haziran 2019, 115–27.</w:t>
      </w:r>
    </w:p>
    <w:p>
      <w:pPr>
        <w:spacing w:after="120" w:line="240"/>
        <w:ind w:left="567" w:hanging="567"/>
        <w:jc w:val="left"/>
      </w:pPr>
      <w:r>
        <w:rPr>
          <w:rFonts w:ascii="Times New Roman" w:cs="Times New Roman" w:eastAsia="Times New Roman" w:hAnsi="Times New Roman"/>
          <w:sz w:val="24"/>
          <w:szCs w:val="24"/>
        </w:rPr>
        <w:t xml:space="preserve">Avrupa Komisyonu, Komşuluk ve Genişleme Müzakereleri Genel Müdürlüğü. </w:t>
      </w:r>
      <w:r>
        <w:rPr>
          <w:rFonts w:ascii="Times New Roman" w:cs="Times New Roman" w:eastAsia="Times New Roman" w:hAnsi="Times New Roman"/>
          <w:i/>
          <w:iCs/>
          <w:sz w:val="24"/>
          <w:szCs w:val="24"/>
        </w:rPr>
        <w:t xml:space="preserve">Screening Report Turkey: Chapter 12 – Food Safety, Veterinary and Phytosanitary Policy</w:t>
      </w:r>
      <w:r>
        <w:rPr>
          <w:rFonts w:ascii="Times New Roman" w:cs="Times New Roman" w:eastAsia="Times New Roman" w:hAnsi="Times New Roman"/>
          <w:sz w:val="24"/>
          <w:szCs w:val="24"/>
        </w:rPr>
        <w:t xml:space="preserve">. Brüksel: Avrupa Komisyonu, 2007. https://enlargement.ec.europa.eu/screening-report-turkey-chapter-12-food-safety-veterinary-and-phytosanitary-policy_en.</w:t>
      </w:r>
    </w:p>
    <w:p>
      <w:pPr>
        <w:spacing w:after="120" w:line="240"/>
        <w:ind w:left="567" w:hanging="567"/>
        <w:jc w:val="left"/>
      </w:pPr>
      <w:r>
        <w:rPr>
          <w:rFonts w:ascii="Times New Roman" w:cs="Times New Roman" w:eastAsia="Times New Roman" w:hAnsi="Times New Roman"/>
          <w:sz w:val="24"/>
          <w:szCs w:val="24"/>
        </w:rPr>
        <w:t xml:space="preserve">Bayne, K., T. H. Morris ve M. P. France. "Legislation and Oversight of the Conduct of Research Using Animals: A Global Overview." </w:t>
      </w:r>
      <w:r>
        <w:rPr>
          <w:rFonts w:ascii="Times New Roman" w:cs="Times New Roman" w:eastAsia="Times New Roman" w:hAnsi="Times New Roman"/>
          <w:i/>
          <w:iCs/>
          <w:sz w:val="24"/>
          <w:szCs w:val="24"/>
        </w:rPr>
        <w:t xml:space="preserve">The UFAW Handbook on the Care and Management of Laboratory and Other Research Animals</w:t>
      </w:r>
      <w:r>
        <w:rPr>
          <w:rFonts w:ascii="Times New Roman" w:cs="Times New Roman" w:eastAsia="Times New Roman" w:hAnsi="Times New Roman"/>
          <w:sz w:val="24"/>
          <w:szCs w:val="24"/>
        </w:rPr>
        <w:t xml:space="preserve"> içinde, 8. bs., editörler R. Hubrecht ve J. Kirkwood, 107–23. Chichester: Wiley-Blackwell, 2010.</w:t>
      </w:r>
    </w:p>
    <w:p>
      <w:pPr>
        <w:spacing w:after="120" w:line="240"/>
        <w:ind w:left="567" w:hanging="567"/>
        <w:jc w:val="left"/>
      </w:pPr>
      <w:r>
        <w:rPr>
          <w:rFonts w:ascii="Times New Roman" w:cs="Times New Roman" w:eastAsia="Times New Roman" w:hAnsi="Times New Roman"/>
          <w:sz w:val="24"/>
          <w:szCs w:val="24"/>
        </w:rPr>
        <w:t xml:space="preserve">Busquet, F. "New European Union Statistics on Laboratory Animal Use – What Really Counts!" </w:t>
      </w:r>
      <w:r>
        <w:rPr>
          <w:rFonts w:ascii="Times New Roman" w:cs="Times New Roman" w:eastAsia="Times New Roman" w:hAnsi="Times New Roman"/>
          <w:i/>
          <w:iCs/>
          <w:sz w:val="24"/>
          <w:szCs w:val="24"/>
        </w:rPr>
        <w:t xml:space="preserve">ALTEX</w:t>
      </w:r>
      <w:r>
        <w:rPr>
          <w:rFonts w:ascii="Times New Roman" w:cs="Times New Roman" w:eastAsia="Times New Roman" w:hAnsi="Times New Roman"/>
          <w:sz w:val="24"/>
          <w:szCs w:val="24"/>
        </w:rPr>
        <w:t xml:space="preserve"> 37, no. 2 (2020): 167–86. https://doi.org/10.14573/altex.2003241.</w:t>
      </w:r>
    </w:p>
    <w:p>
      <w:pPr>
        <w:spacing w:after="120" w:line="240"/>
        <w:ind w:left="567" w:hanging="567"/>
        <w:jc w:val="left"/>
      </w:pPr>
      <w:r>
        <w:rPr>
          <w:rFonts w:ascii="Times New Roman" w:cs="Times New Roman" w:eastAsia="Times New Roman" w:hAnsi="Times New Roman"/>
          <w:sz w:val="24"/>
          <w:szCs w:val="24"/>
        </w:rPr>
        <w:t xml:space="preserve">Demirel, B. ve G. Uluköy. "Hayvan refahı bakış açısı ile bilimsel çalışmalarda sucul omurgalı canlıların kullanımının mevzuat açısından incelenmesi." </w:t>
      </w:r>
      <w:r>
        <w:rPr>
          <w:rFonts w:ascii="Times New Roman" w:cs="Times New Roman" w:eastAsia="Times New Roman" w:hAnsi="Times New Roman"/>
          <w:i/>
          <w:iCs/>
          <w:sz w:val="24"/>
          <w:szCs w:val="24"/>
        </w:rPr>
        <w:t xml:space="preserve">Mediterranean Fisheries and Aquaculture Research</w:t>
      </w:r>
      <w:r>
        <w:rPr>
          <w:rFonts w:ascii="Times New Roman" w:cs="Times New Roman" w:eastAsia="Times New Roman" w:hAnsi="Times New Roman"/>
          <w:sz w:val="24"/>
          <w:szCs w:val="24"/>
        </w:rPr>
        <w:t xml:space="preserve"> 8, no. 2 (2025): 105–27. https://doi.org/10.63039/medfar.1818317.</w:t>
      </w:r>
    </w:p>
    <w:p>
      <w:pPr>
        <w:spacing w:after="120" w:line="240"/>
        <w:ind w:left="567" w:hanging="567"/>
        <w:jc w:val="left"/>
      </w:pPr>
      <w:r>
        <w:rPr>
          <w:rFonts w:ascii="Times New Roman" w:cs="Times New Roman" w:eastAsia="Times New Roman" w:hAnsi="Times New Roman"/>
          <w:sz w:val="24"/>
          <w:szCs w:val="24"/>
        </w:rPr>
        <w:t xml:space="preserve">FELASA. "Education &amp; Training." Erişim tarihi 26 Ağustos 2026. https://felasa.eu/education-training.</w:t>
      </w:r>
    </w:p>
    <w:p>
      <w:pPr>
        <w:spacing w:after="120" w:line="240"/>
        <w:ind w:left="567" w:hanging="567"/>
        <w:jc w:val="left"/>
      </w:pPr>
      <w:r>
        <w:rPr>
          <w:rFonts w:ascii="Times New Roman" w:cs="Times New Roman" w:eastAsia="Times New Roman" w:hAnsi="Times New Roman"/>
          <w:sz w:val="24"/>
          <w:szCs w:val="24"/>
        </w:rPr>
        <w:t xml:space="preserve">Fiorito, G., A. Affuso, J. Basil </w:t>
      </w:r>
      <w:r>
        <w:rPr>
          <w:rFonts w:ascii="Times New Roman" w:cs="Times New Roman" w:eastAsia="Times New Roman" w:hAnsi="Times New Roman"/>
          <w:i/>
          <w:iCs/>
          <w:sz w:val="24"/>
          <w:szCs w:val="24"/>
        </w:rPr>
        <w:t xml:space="preserve">vd.</w:t>
      </w:r>
      <w:r>
        <w:rPr>
          <w:rFonts w:ascii="Times New Roman" w:cs="Times New Roman" w:eastAsia="Times New Roman" w:hAnsi="Times New Roman"/>
          <w:sz w:val="24"/>
          <w:szCs w:val="24"/>
        </w:rPr>
        <w:t xml:space="preserve"> "Guidelines for the Care and Welfare of Cephalopods in Research – A Consensus Based on an Initiative by CephRes, FELASA and the Boyd Group."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49, no. 2 ek (2015): 1–90. https://doi.org/10.1177/0023677215580006.</w:t>
      </w:r>
    </w:p>
    <w:p>
      <w:pPr>
        <w:spacing w:after="120" w:line="240"/>
        <w:ind w:left="567" w:hanging="567"/>
        <w:jc w:val="left"/>
      </w:pPr>
      <w:r>
        <w:rPr>
          <w:rFonts w:ascii="Times New Roman" w:cs="Times New Roman" w:eastAsia="Times New Roman" w:hAnsi="Times New Roman"/>
          <w:sz w:val="24"/>
          <w:szCs w:val="24"/>
        </w:rPr>
        <w:t xml:space="preserve">Gölcü, B. M. ve A. Aksoy. "Avrupa Birliği ve Türkiye'de deney hayvanları mevzuatına genel bir bakış." </w:t>
      </w:r>
      <w:r>
        <w:rPr>
          <w:rFonts w:ascii="Times New Roman" w:cs="Times New Roman" w:eastAsia="Times New Roman" w:hAnsi="Times New Roman"/>
          <w:i/>
          <w:iCs/>
          <w:sz w:val="24"/>
          <w:szCs w:val="24"/>
        </w:rPr>
        <w:t xml:space="preserve">Türkiye Klinikleri Journal of Laboratory Animals</w:t>
      </w:r>
      <w:r>
        <w:rPr>
          <w:rFonts w:ascii="Times New Roman" w:cs="Times New Roman" w:eastAsia="Times New Roman" w:hAnsi="Times New Roman"/>
          <w:sz w:val="24"/>
          <w:szCs w:val="24"/>
        </w:rPr>
        <w:t xml:space="preserve"> 1, no. 1 (2017): 56–62. https://doi.org/10.5336/jlabanim.2016-52876.</w:t>
      </w:r>
    </w:p>
    <w:p>
      <w:pPr>
        <w:spacing w:after="120" w:line="240"/>
        <w:ind w:left="567" w:hanging="567"/>
        <w:jc w:val="left"/>
      </w:pPr>
      <w:r>
        <w:rPr>
          <w:rFonts w:ascii="Times New Roman" w:cs="Times New Roman" w:eastAsia="Times New Roman" w:hAnsi="Times New Roman"/>
          <w:sz w:val="24"/>
          <w:szCs w:val="24"/>
        </w:rPr>
        <w:t xml:space="preserve">Grimm, H. ve M. Dusseldorp. "The (Re)turn of the 3Rs: An Inquiry into the Normative Nature of Russell and Burch's Principles of Humane Experimental Technique."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59, no. 5 (2025): 556–69. https://doi.org/10.1177/00236772251326352.</w:t>
      </w:r>
    </w:p>
    <w:p>
      <w:pPr>
        <w:spacing w:after="120" w:line="240"/>
        <w:ind w:left="567" w:hanging="567"/>
        <w:jc w:val="left"/>
      </w:pPr>
      <w:r>
        <w:rPr>
          <w:rFonts w:ascii="Times New Roman" w:cs="Times New Roman" w:eastAsia="Times New Roman" w:hAnsi="Times New Roman"/>
          <w:sz w:val="24"/>
          <w:szCs w:val="24"/>
        </w:rPr>
        <w:t xml:space="preserve">Hajosi, D. ve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19, no. 2 (2024): e0297375. https://doi.org/10.1371/journal.pone.0297375.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2010–2014 yılları deney hayvanı kullanımı faaliyet raporu</w:t>
      </w:r>
      <w:r>
        <w:rPr>
          <w:rFonts w:ascii="Times New Roman" w:cs="Times New Roman" w:eastAsia="Times New Roman" w:hAnsi="Times New Roman"/>
          <w:sz w:val="24"/>
          <w:szCs w:val="24"/>
        </w:rPr>
        <w:t xml:space="preserve">. Ankara: T.C. Orman ve Su İşleri Bakanlığı, 2015.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2015–2016 yılları Hayvan Deneyleri Merkezi Etik Kurulu faaliyet raporu</w:t>
      </w:r>
      <w:r>
        <w:rPr>
          <w:rFonts w:ascii="Times New Roman" w:cs="Times New Roman" w:eastAsia="Times New Roman" w:hAnsi="Times New Roman"/>
          <w:sz w:val="24"/>
          <w:szCs w:val="24"/>
        </w:rPr>
        <w:t xml:space="preserve">. Ankara: T.C. Orman ve Su İşleri Bakanlığı, 2017.</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2017 yılı hayvan deneyleri istatistik raporu</w:t>
      </w:r>
      <w:r>
        <w:rPr>
          <w:rFonts w:ascii="Times New Roman" w:cs="Times New Roman" w:eastAsia="Times New Roman" w:hAnsi="Times New Roman"/>
          <w:sz w:val="24"/>
          <w:szCs w:val="24"/>
        </w:rPr>
        <w:t xml:space="preserve">. Ankara: T.C. Orman ve Su İşleri Bakanlığı, 2018.</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2018–2020 yılları Hayvan Deneyleri Merkezi Etik Kurulu faaliyet raporu</w:t>
      </w:r>
      <w:r>
        <w:rPr>
          <w:rFonts w:ascii="Times New Roman" w:cs="Times New Roman" w:eastAsia="Times New Roman" w:hAnsi="Times New Roman"/>
          <w:sz w:val="24"/>
          <w:szCs w:val="24"/>
        </w:rPr>
        <w:t xml:space="preserve">. Ankara: T.C. Tarım ve Orman Bakanlığı, 2021.</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2026 yılı deney hayvanı kullanım sertifikası eğitim programları listesi</w:t>
      </w:r>
      <w:r>
        <w:rPr>
          <w:rFonts w:ascii="Times New Roman" w:cs="Times New Roman" w:eastAsia="Times New Roman" w:hAnsi="Times New Roman"/>
          <w:sz w:val="24"/>
          <w:szCs w:val="24"/>
        </w:rPr>
        <w:t xml:space="preserve">. 25 Eylül 2026. Erişim tarihi 28 Eylül 2026. https://hadmek.tarimorman.gov.tr/Duyuru/Detay/16896.</w:t>
      </w:r>
    </w:p>
    <w:p>
      <w:pPr>
        <w:spacing w:after="120" w:line="240"/>
        <w:ind w:left="567" w:hanging="567"/>
        <w:jc w:val="left"/>
      </w:pPr>
      <w:r>
        <w:rPr>
          <w:rFonts w:ascii="Times New Roman" w:cs="Times New Roman" w:eastAsia="Times New Roman" w:hAnsi="Times New Roman"/>
          <w:sz w:val="24"/>
          <w:szCs w:val="24"/>
        </w:rPr>
        <w:t xml:space="preserve">İstanbul Medipol Üniversitesi. </w:t>
      </w:r>
      <w:r>
        <w:rPr>
          <w:rFonts w:ascii="Times New Roman" w:cs="Times New Roman" w:eastAsia="Times New Roman" w:hAnsi="Times New Roman"/>
          <w:i/>
          <w:iCs/>
          <w:sz w:val="24"/>
          <w:szCs w:val="24"/>
        </w:rPr>
        <w:t xml:space="preserve">Hayvan Deneyleri Yerel Etik Kurulu Yönergesi</w:t>
      </w:r>
      <w:r>
        <w:rPr>
          <w:rFonts w:ascii="Times New Roman" w:cs="Times New Roman" w:eastAsia="Times New Roman" w:hAnsi="Times New Roman"/>
          <w:sz w:val="24"/>
          <w:szCs w:val="24"/>
        </w:rPr>
        <w:t xml:space="preserve">. İstanbul: Medipol Üniversitesi, t.y.</w:t>
      </w:r>
    </w:p>
    <w:p>
      <w:pPr>
        <w:spacing w:after="120" w:line="240"/>
        <w:ind w:left="567" w:hanging="567"/>
        <w:jc w:val="left"/>
      </w:pPr>
      <w:r>
        <w:rPr>
          <w:rFonts w:ascii="Times New Roman" w:cs="Times New Roman" w:eastAsia="Times New Roman" w:hAnsi="Times New Roman"/>
          <w:sz w:val="24"/>
          <w:szCs w:val="24"/>
        </w:rPr>
        <w:t xml:space="preserve">İstanbul Üniversitesi-Cerrahpaşa. </w:t>
      </w:r>
      <w:r>
        <w:rPr>
          <w:rFonts w:ascii="Times New Roman" w:cs="Times New Roman" w:eastAsia="Times New Roman" w:hAnsi="Times New Roman"/>
          <w:i/>
          <w:iCs/>
          <w:sz w:val="24"/>
          <w:szCs w:val="24"/>
        </w:rPr>
        <w:t xml:space="preserve">Hayvan Deneyleri Yerel Etik Kurulu (İÜC-HADYEK) Yönergesi</w:t>
      </w:r>
      <w:r>
        <w:rPr>
          <w:rFonts w:ascii="Times New Roman" w:cs="Times New Roman" w:eastAsia="Times New Roman" w:hAnsi="Times New Roman"/>
          <w:sz w:val="24"/>
          <w:szCs w:val="24"/>
        </w:rPr>
        <w:t xml:space="preserve">. İstanbul: İÜC, 2021.</w:t>
      </w:r>
    </w:p>
    <w:p>
      <w:pPr>
        <w:spacing w:after="120" w:line="240"/>
        <w:ind w:left="567" w:hanging="567"/>
        <w:jc w:val="left"/>
      </w:pPr>
      <w:r>
        <w:rPr>
          <w:rFonts w:ascii="Times New Roman" w:cs="Times New Roman" w:eastAsia="Times New Roman" w:hAnsi="Times New Roman"/>
          <w:sz w:val="24"/>
          <w:szCs w:val="24"/>
        </w:rPr>
        <w:t xml:space="preserve">İzmir Yüksek Teknoloji Enstitüsü. </w:t>
      </w:r>
      <w:r>
        <w:rPr>
          <w:rFonts w:ascii="Times New Roman" w:cs="Times New Roman" w:eastAsia="Times New Roman" w:hAnsi="Times New Roman"/>
          <w:i/>
          <w:iCs/>
          <w:sz w:val="24"/>
          <w:szCs w:val="24"/>
        </w:rPr>
        <w:t xml:space="preserve">İYTE Hayvan Deneyleri Yerel Etik Kurulu Yönergesi</w:t>
      </w:r>
      <w:r>
        <w:rPr>
          <w:rFonts w:ascii="Times New Roman" w:cs="Times New Roman" w:eastAsia="Times New Roman" w:hAnsi="Times New Roman"/>
          <w:sz w:val="24"/>
          <w:szCs w:val="24"/>
        </w:rPr>
        <w:t xml:space="preserve">. İzmir: İYTE, 2014.</w:t>
      </w:r>
    </w:p>
    <w:p>
      <w:pPr>
        <w:spacing w:after="120" w:line="240"/>
        <w:ind w:left="567" w:hanging="567"/>
        <w:jc w:val="left"/>
      </w:pPr>
      <w:r>
        <w:rPr>
          <w:rFonts w:ascii="Times New Roman" w:cs="Times New Roman" w:eastAsia="Times New Roman" w:hAnsi="Times New Roman"/>
          <w:sz w:val="24"/>
          <w:szCs w:val="24"/>
        </w:rPr>
        <w:t xml:space="preserve">İzmirli, S., S. J. Aldavood, A. Yasar ve C. J. C. Phillips. "Introducing Ethical Evaluation of the Use of Animals in Experiments in the Near East." </w:t>
      </w:r>
      <w:r>
        <w:rPr>
          <w:rFonts w:ascii="Times New Roman" w:cs="Times New Roman" w:eastAsia="Times New Roman" w:hAnsi="Times New Roman"/>
          <w:i/>
          <w:iCs/>
          <w:sz w:val="24"/>
          <w:szCs w:val="24"/>
        </w:rPr>
        <w:t xml:space="preserve">Alternatives to Laboratory Animals</w:t>
      </w:r>
      <w:r>
        <w:rPr>
          <w:rFonts w:ascii="Times New Roman" w:cs="Times New Roman" w:eastAsia="Times New Roman" w:hAnsi="Times New Roman"/>
          <w:sz w:val="24"/>
          <w:szCs w:val="24"/>
        </w:rPr>
        <w:t xml:space="preserve"> 38, no. 4 (2010): 331–36. https://doi.org/10.1177/026119291003800410.</w:t>
      </w:r>
    </w:p>
    <w:p>
      <w:pPr>
        <w:spacing w:after="120" w:line="240"/>
        <w:ind w:left="567" w:hanging="567"/>
        <w:jc w:val="left"/>
      </w:pPr>
      <w:r>
        <w:rPr>
          <w:rFonts w:ascii="Times New Roman" w:cs="Times New Roman" w:eastAsia="Times New Roman" w:hAnsi="Times New Roman"/>
          <w:sz w:val="24"/>
          <w:szCs w:val="24"/>
        </w:rPr>
        <w:t xml:space="preserve">Kiraga, Ł. ve A. Dzikowski. "Ethical Concerns of the Veterinarian in Relation to Experimental Animals and </w:t>
      </w:r>
      <w:r>
        <w:rPr>
          <w:rFonts w:ascii="Times New Roman" w:cs="Times New Roman" w:eastAsia="Times New Roman" w:hAnsi="Times New Roman"/>
          <w:i/>
          <w:iCs/>
          <w:sz w:val="24"/>
          <w:szCs w:val="24"/>
        </w:rPr>
        <w:t xml:space="preserve">in Vivo</w:t>
      </w:r>
      <w:r>
        <w:rPr>
          <w:rFonts w:ascii="Times New Roman" w:cs="Times New Roman" w:eastAsia="Times New Roman" w:hAnsi="Times New Roman"/>
          <w:sz w:val="24"/>
          <w:szCs w:val="24"/>
        </w:rPr>
        <w:t xml:space="preserve"> Research." </w:t>
      </w:r>
      <w:r>
        <w:rPr>
          <w:rFonts w:ascii="Times New Roman" w:cs="Times New Roman" w:eastAsia="Times New Roman" w:hAnsi="Times New Roman"/>
          <w:i/>
          <w:iCs/>
          <w:sz w:val="24"/>
          <w:szCs w:val="24"/>
        </w:rPr>
        <w:t xml:space="preserve">Animals</w:t>
      </w:r>
      <w:r>
        <w:rPr>
          <w:rFonts w:ascii="Times New Roman" w:cs="Times New Roman" w:eastAsia="Times New Roman" w:hAnsi="Times New Roman"/>
          <w:sz w:val="24"/>
          <w:szCs w:val="24"/>
        </w:rPr>
        <w:t xml:space="preserve"> 13, no. 15 (2023): 2476. https://doi.org/10.3390/ani13152476.</w:t>
      </w:r>
    </w:p>
    <w:p>
      <w:pPr>
        <w:spacing w:after="120" w:line="240"/>
        <w:ind w:left="567" w:hanging="567"/>
        <w:jc w:val="left"/>
      </w:pPr>
      <w:r>
        <w:rPr>
          <w:rFonts w:ascii="Times New Roman" w:cs="Times New Roman" w:eastAsia="Times New Roman" w:hAnsi="Times New Roman"/>
          <w:sz w:val="24"/>
          <w:szCs w:val="24"/>
        </w:rPr>
        <w:t xml:space="preserve">Türkiye. Bilimsel Amaçlar İçin Kullanılan Sucul Omurgalı Canlıların Refah ve Korunmasına Dair Yönetmelik.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30751, 20 Nisan 2019.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32052, 23 Aralık 2022 ve S. 32529, 27 Nisan 2024 ile değişik.</w:t>
      </w:r>
    </w:p>
    <w:p>
      <w:pPr>
        <w:spacing w:after="120" w:line="240"/>
        <w:ind w:left="567" w:hanging="567"/>
        <w:jc w:val="left"/>
      </w:pPr>
      <w:r>
        <w:rPr>
          <w:rFonts w:ascii="Times New Roman" w:cs="Times New Roman" w:eastAsia="Times New Roman" w:hAnsi="Times New Roman"/>
          <w:sz w:val="24"/>
          <w:szCs w:val="24"/>
        </w:rPr>
        <w:t xml:space="preserve">Türkiye. Deneysel ve Diğer Bilimsel Amaçlar İçin Kullanılan Hayvanların Refah ve Korunmasına Dair Yönetmelik.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28141, 13 Aralık 2011.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28253, 3 Nisan 2012 ve S. 30825, 8 Temmuz 2019 ile değişik.</w:t>
      </w:r>
    </w:p>
    <w:p>
      <w:pPr>
        <w:spacing w:after="120" w:line="240"/>
        <w:ind w:left="567" w:hanging="567"/>
        <w:jc w:val="left"/>
      </w:pPr>
      <w:r>
        <w:rPr>
          <w:rFonts w:ascii="Times New Roman" w:cs="Times New Roman" w:eastAsia="Times New Roman" w:hAnsi="Times New Roman"/>
          <w:sz w:val="24"/>
          <w:szCs w:val="24"/>
        </w:rPr>
        <w:t xml:space="preserve">Türkiye. Hayvan Deneyleri Etik Kurullarının Çalışma Usul ve Esaslarına Dair Yönetmelik.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28914, 15 Şubat 2014.</w:t>
      </w:r>
    </w:p>
    <w:p>
      <w:pPr>
        <w:spacing w:after="120" w:line="240"/>
        <w:ind w:left="567" w:hanging="567"/>
        <w:jc w:val="left"/>
      </w:pPr>
      <w:r>
        <w:rPr>
          <w:rFonts w:ascii="Times New Roman" w:cs="Times New Roman" w:eastAsia="Times New Roman" w:hAnsi="Times New Roman"/>
          <w:sz w:val="24"/>
          <w:szCs w:val="24"/>
        </w:rPr>
        <w:t xml:space="preserve">Türkiye. Hayvanları Koruma Kanunu. 24 Haziran 2004 tarihli ve 5199 sayılı Kanun.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25509, 1 Temmuz 2004. Konsolide metin. Erişim tarihi 28 Eylül 2026. https://www.mevzuat.gov.tr/mevzuat?MevzuatNo=5199&amp;MevzuatTur=1&amp;MevzuatTertip=5.</w:t>
      </w:r>
    </w:p>
    <w:p>
      <w:pPr>
        <w:spacing w:after="120" w:line="240"/>
        <w:ind w:left="567" w:hanging="567"/>
        <w:jc w:val="left"/>
      </w:pPr>
      <w:r>
        <w:rPr>
          <w:rFonts w:ascii="Times New Roman" w:cs="Times New Roman" w:eastAsia="Times New Roman" w:hAnsi="Times New Roman"/>
          <w:sz w:val="24"/>
          <w:szCs w:val="24"/>
        </w:rPr>
        <w:t xml:space="preserve">Türkiye. Veteriner Hizmetleri, Bitki Sağlığı, Gıda ve Yem Kanunu. 11 Haziran 2010 tarihli ve 5996 sayılı Kanun.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S. 27610, 13 Haziran 2010. Konsolide metin. Erişim tarihi 28 Eylül 2026. https://www.mevzuat.gov.tr/MevzuatMetin/1.5.5996.pdf.</w:t>
      </w:r>
    </w:p>
    <w:p>
      <w:pPr>
        <w:spacing w:after="120" w:line="240"/>
        <w:ind w:left="567" w:hanging="567"/>
        <w:jc w:val="left"/>
      </w:pPr>
      <w:r>
        <w:rPr>
          <w:rFonts w:ascii="Times New Roman" w:cs="Times New Roman" w:eastAsia="Times New Roman" w:hAnsi="Times New Roman"/>
          <w:sz w:val="24"/>
          <w:szCs w:val="24"/>
        </w:rPr>
        <w:t xml:space="preserve">Uludağ, Ö. "Hayvan deneyi çalışmalarında etik kuralların tarihçesi ve önemi." </w:t>
      </w:r>
      <w:r>
        <w:rPr>
          <w:rFonts w:ascii="Times New Roman" w:cs="Times New Roman" w:eastAsia="Times New Roman" w:hAnsi="Times New Roman"/>
          <w:i/>
          <w:iCs/>
          <w:sz w:val="24"/>
          <w:szCs w:val="24"/>
        </w:rPr>
        <w:t xml:space="preserve">Adıyaman Üniversitesi Sağlık Bilimleri Dergisi</w:t>
      </w:r>
      <w:r>
        <w:rPr>
          <w:rFonts w:ascii="Times New Roman" w:cs="Times New Roman" w:eastAsia="Times New Roman" w:hAnsi="Times New Roman"/>
          <w:sz w:val="24"/>
          <w:szCs w:val="24"/>
        </w:rPr>
        <w:t xml:space="preserve"> 5, no. 1 (2019): 1401–13. https://doi.org/10.30569/adiyamansaglik.482098.</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jc w:val="left"/>
      </w:pPr>
      <w:r>
        <w:rPr>
          <w:rStyle w:val="FootnoteReference"/>
        </w:rPr>
        <w:footnoteRef/>
      </w:r>
      <w:r>
        <w:rPr>
          <w:rFonts w:ascii="Times New Roman" w:cs="Times New Roman" w:eastAsia="Times New Roman" w:hAnsi="Times New Roman"/>
          <w:sz w:val="20"/>
          <w:szCs w:val="20"/>
        </w:rPr>
        <w:t xml:space="preserve">Avrupa Birliği, Bilimsel Amaçlarla Kullanılan Hayvanların Korunmasına İlişkin 22 Eylül 2010 tarihli ve 2010/63/AB sayılı Avrupa Parlamentosu ve Konsey Direktifi, </w:t>
      </w:r>
      <w:r>
        <w:rPr>
          <w:rFonts w:ascii="Times New Roman" w:cs="Times New Roman" w:eastAsia="Times New Roman" w:hAnsi="Times New Roman"/>
          <w:i/>
          <w:iCs/>
          <w:sz w:val="20"/>
          <w:szCs w:val="20"/>
        </w:rPr>
        <w:t xml:space="preserve">Avrupa Birliği Resmî Gazetesi</w:t>
      </w:r>
      <w:r>
        <w:rPr>
          <w:rFonts w:ascii="Times New Roman" w:cs="Times New Roman" w:eastAsia="Times New Roman" w:hAnsi="Times New Roman"/>
          <w:sz w:val="20"/>
          <w:szCs w:val="20"/>
        </w:rPr>
        <w:t xml:space="preserve"> L 276, 20 Ekim 2010, 33–79 (bundan sonra 2010/63/AB sayılı Direktif).</w:t>
      </w:r>
    </w:p>
  </w:footnote>
  <w:footnote w:id="2">
    <w:p>
      <w:pPr>
        <w:spacing w:line="240"/>
        <w:jc w:val="left"/>
      </w:pPr>
      <w:r>
        <w:rPr>
          <w:rStyle w:val="FootnoteReference"/>
        </w:rPr>
        <w:footnoteRef/>
      </w:r>
      <w:r>
        <w:rPr>
          <w:rFonts w:ascii="Times New Roman" w:cs="Times New Roman" w:eastAsia="Times New Roman" w:hAnsi="Times New Roman"/>
          <w:sz w:val="20"/>
          <w:szCs w:val="20"/>
        </w:rPr>
        <w:t xml:space="preserve">Avrupa Komisyonu, Komşuluk ve Genişleme Müzakereleri Genel Müdürlüğü, </w:t>
      </w:r>
      <w:r>
        <w:rPr>
          <w:rFonts w:ascii="Times New Roman" w:cs="Times New Roman" w:eastAsia="Times New Roman" w:hAnsi="Times New Roman"/>
          <w:i/>
          <w:iCs/>
          <w:sz w:val="20"/>
          <w:szCs w:val="20"/>
        </w:rPr>
        <w:t xml:space="preserve">Screening Report Turkey: Chapter 12 – Food Safety, Veterinary and Phytosanitary Policy</w:t>
      </w:r>
      <w:r>
        <w:rPr>
          <w:rFonts w:ascii="Times New Roman" w:cs="Times New Roman" w:eastAsia="Times New Roman" w:hAnsi="Times New Roman"/>
          <w:sz w:val="20"/>
          <w:szCs w:val="20"/>
        </w:rPr>
        <w:t xml:space="preserve"> (Brüksel: Avrupa Komisyonu, 2007), https://enlargement.ec.europa.eu/screening-report-turkey-chapter-12-food-safety-veterinary-and-phytosanitary-policy_en.</w:t>
      </w:r>
    </w:p>
  </w:footnote>
  <w:footnote w:id="3">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 erişim tarihi 26 Ağustos 2026, https://www.aaalac.org/accreditation/directory/directory-of-accredited-organizations-search-result/; FELASA, "Education &amp; Training," erişim tarihi 26 Ağustos 2026, https://felasa.eu/education-training.</w:t>
      </w:r>
    </w:p>
  </w:footnote>
  <w:footnote w:id="4">
    <w:p>
      <w:pPr>
        <w:spacing w:line="240"/>
        <w:jc w:val="left"/>
      </w:pPr>
      <w:r>
        <w:rPr>
          <w:rStyle w:val="FootnoteReference"/>
        </w:rPr>
        <w:footnoteRef/>
      </w:r>
      <w:r>
        <w:rPr>
          <w:rFonts w:ascii="Times New Roman" w:cs="Times New Roman" w:eastAsia="Times New Roman" w:hAnsi="Times New Roman"/>
          <w:sz w:val="20"/>
          <w:szCs w:val="20"/>
        </w:rPr>
        <w:t xml:space="preserve">Türkiye, Hayvanları Koruma Kanunu, 24 Haziran 2004 tarihli ve 5199 sayılı Kanun,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25509, 1 Temmuz 2004, konsolide metin, erişim tarihi 28 Eylül 2026, https://www.mevzuat.gov.tr/mevzuat?MevzuatNo=5199&amp;MevzuatTur=1&amp;MevzuatTertip=5 (bundan sonra 5199 sayılı Kanun). Türkiye, Deneysel ve Diğer Bilimsel Amaçlar İçin Kullanılan Hayvanların Refah ve Korunmasına Dair Yönetmelik,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28141, 13 Aralık 2011;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28253, 3 Nisan 2012 ve S. 30825, 8 Temmuz 2019 ile değişik (bundan sonra Refah Yönetmeliği). Türkiye, Hayvan Deneyleri Etik Kurullarının Çalışma Usul ve Esaslarına Dair Yönetmelik,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28914, 15 Şubat 2014 (bundan sonra Etik Kurul Yönetmeliği). Bu yönetmelik,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26220, 6 Temmuz 2006'da yayımlanan aynı adlı yönetmeliğin yerini almıştır. Türkiye, Bilimsel Amaçlar İçin Kullanılan Sucul Omurgalı Canlıların Refah ve Korunmasına Dair Yönetmelik,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30751, 20 Nisan 2019;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32052, 23 Aralık 2022 ve S. 32529, 27 Nisan 2024 ile değişik (bundan sonra Sucul Yönetmelik).</w:t>
      </w:r>
    </w:p>
  </w:footnote>
  <w:footnote w:id="5">
    <w:p>
      <w:pPr>
        <w:spacing w:line="240"/>
        <w:jc w:val="left"/>
      </w:pPr>
      <w:r>
        <w:rPr>
          <w:rStyle w:val="FootnoteReference"/>
        </w:rPr>
        <w:footnoteRef/>
      </w:r>
      <w:r>
        <w:rPr>
          <w:rFonts w:ascii="Times New Roman" w:cs="Times New Roman" w:eastAsia="Times New Roman" w:hAnsi="Times New Roman"/>
          <w:sz w:val="20"/>
          <w:szCs w:val="20"/>
        </w:rPr>
        <w:t xml:space="preserve">Konsolide metinler, 5199 sayılı Kanun, 5996 sayılı Kanun ve Sucul Yönetmelik için resmî mevzuat portalından (mevzuat.gov.tr), Refah Yönetmeliği ve Etik Kurul Yönetmeliği için Lexpera hukuk veri tabanından elde edilmiştir; tümüne erişim tarihi 28 Eylül 2026.</w:t>
      </w:r>
    </w:p>
  </w:footnote>
  <w:footnote w:id="6">
    <w:p>
      <w:pPr>
        <w:spacing w:line="240"/>
        <w:jc w:val="left"/>
      </w:pPr>
      <w:r>
        <w:rPr>
          <w:rStyle w:val="FootnoteReference"/>
        </w:rPr>
        <w:footnoteRef/>
      </w:r>
      <w:r>
        <w:rPr>
          <w:rFonts w:ascii="Times New Roman" w:cs="Times New Roman" w:eastAsia="Times New Roman" w:hAnsi="Times New Roman"/>
          <w:sz w:val="20"/>
          <w:szCs w:val="20"/>
        </w:rPr>
        <w:t xml:space="preserve">B. M. Gölcü ve A. Aksoy, "Avrupa Birliği ve Türkiye'de deney hayvanları mevzuatına genel bir bakış," </w:t>
      </w:r>
      <w:r>
        <w:rPr>
          <w:rFonts w:ascii="Times New Roman" w:cs="Times New Roman" w:eastAsia="Times New Roman" w:hAnsi="Times New Roman"/>
          <w:i/>
          <w:iCs/>
          <w:sz w:val="20"/>
          <w:szCs w:val="20"/>
        </w:rPr>
        <w:t xml:space="preserve">Türkiye Klinikleri Journal of Laboratory Animals</w:t>
      </w:r>
      <w:r>
        <w:rPr>
          <w:rFonts w:ascii="Times New Roman" w:cs="Times New Roman" w:eastAsia="Times New Roman" w:hAnsi="Times New Roman"/>
          <w:sz w:val="20"/>
          <w:szCs w:val="20"/>
        </w:rPr>
        <w:t xml:space="preserve"> 1, no. 1 (2017): 56–62, https://doi.org/10.5336/jlabanim.2016-52876.</w:t>
      </w:r>
    </w:p>
  </w:footnote>
  <w:footnote w:id="7">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1(2).</w:t>
      </w:r>
    </w:p>
  </w:footnote>
  <w:footnote w:id="8">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1(3). Bütün bir omurgasız sınıfının AB laboratuvar hayvanı mevzuatına ilk kez dâhil edilmesi anlamına gelen kafadanbacaklıların kapsama alınması hakkında bkz. G. Fiorito </w:t>
      </w:r>
      <w:r>
        <w:rPr>
          <w:rFonts w:ascii="Times New Roman" w:cs="Times New Roman" w:eastAsia="Times New Roman" w:hAnsi="Times New Roman"/>
          <w:i/>
          <w:iCs/>
          <w:sz w:val="20"/>
          <w:szCs w:val="20"/>
        </w:rPr>
        <w:t xml:space="preserve">vd.</w:t>
      </w:r>
      <w:r>
        <w:rPr>
          <w:rFonts w:ascii="Times New Roman" w:cs="Times New Roman" w:eastAsia="Times New Roman" w:hAnsi="Times New Roman"/>
          <w:sz w:val="20"/>
          <w:szCs w:val="20"/>
        </w:rPr>
        <w:t xml:space="preserve">, "Guidelines for the Care and Welfare of Cephalopods in Research – A Consensus Based on an Initiative by CephRes, FELASA and the Boyd Group,"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49, no. 2 ek (2015): 1–90, https://doi.org/10.1177/0023677215580006.</w:t>
      </w:r>
    </w:p>
  </w:footnote>
  <w:footnote w:id="9">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3(1).</w:t>
      </w:r>
    </w:p>
  </w:footnote>
  <w:footnote w:id="10">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1(5)(a)–(f).</w:t>
      </w:r>
    </w:p>
  </w:footnote>
  <w:footnote w:id="11">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3(1) ve 6(1)–(3).</w:t>
      </w:r>
    </w:p>
  </w:footnote>
  <w:footnote w:id="12">
    <w:p>
      <w:pPr>
        <w:spacing w:line="240"/>
        <w:jc w:val="left"/>
      </w:pPr>
      <w:r>
        <w:rPr>
          <w:rStyle w:val="FootnoteReference"/>
        </w:rPr>
        <w:footnoteRef/>
      </w:r>
      <w:r>
        <w:rPr>
          <w:rFonts w:ascii="Times New Roman" w:cs="Times New Roman" w:eastAsia="Times New Roman" w:hAnsi="Times New Roman"/>
          <w:sz w:val="20"/>
          <w:szCs w:val="20"/>
        </w:rPr>
        <w:t xml:space="preserve">Türkiye, Veteriner Hizmetleri, Bitki Sağlığı, Gıda ve Yem Kanunu, 11 Haziran 2010 tarihli ve 5996 sayılı Kanun,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27610, 13 Haziran 2010, konsolide metin, erişim tarihi 28 Eylül 2026, https://www.mevzuat.gov.tr/MevzuatMetin/1.5.5996.pdf (bundan sonra 5996 sayılı Kanun).</w:t>
      </w:r>
    </w:p>
  </w:footnote>
  <w:footnote w:id="13">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w:t>
      </w:r>
    </w:p>
  </w:footnote>
  <w:footnote w:id="14">
    <w:p>
      <w:pPr>
        <w:spacing w:line="240"/>
        <w:jc w:val="left"/>
      </w:pPr>
      <w:r>
        <w:rPr>
          <w:rStyle w:val="FootnoteReference"/>
        </w:rPr>
        <w:footnoteRef/>
      </w:r>
      <w:r>
        <w:rPr>
          <w:rFonts w:ascii="Times New Roman" w:cs="Times New Roman" w:eastAsia="Times New Roman" w:hAnsi="Times New Roman"/>
          <w:sz w:val="20"/>
          <w:szCs w:val="20"/>
        </w:rPr>
        <w:t xml:space="preserve">5199 sayılı Kanun, md. 3(l)–(m).</w:t>
      </w:r>
    </w:p>
  </w:footnote>
  <w:footnote w:id="15">
    <w:p>
      <w:pPr>
        <w:spacing w:line="240"/>
        <w:jc w:val="left"/>
      </w:pPr>
      <w:r>
        <w:rPr>
          <w:rStyle w:val="FootnoteReference"/>
        </w:rPr>
        <w:footnoteRef/>
      </w:r>
      <w:r>
        <w:rPr>
          <w:rFonts w:ascii="Times New Roman" w:cs="Times New Roman" w:eastAsia="Times New Roman" w:hAnsi="Times New Roman"/>
          <w:sz w:val="20"/>
          <w:szCs w:val="20"/>
        </w:rPr>
        <w:t xml:space="preserve">5199 sayılı Kanun, md. 3(h).</w:t>
      </w:r>
    </w:p>
  </w:footnote>
  <w:footnote w:id="16">
    <w:p>
      <w:pPr>
        <w:spacing w:line="240"/>
        <w:jc w:val="left"/>
      </w:pPr>
      <w:r>
        <w:rPr>
          <w:rStyle w:val="FootnoteReference"/>
        </w:rPr>
        <w:footnoteRef/>
      </w:r>
      <w:r>
        <w:rPr>
          <w:rFonts w:ascii="Times New Roman" w:cs="Times New Roman" w:eastAsia="Times New Roman" w:hAnsi="Times New Roman"/>
          <w:sz w:val="20"/>
          <w:szCs w:val="20"/>
        </w:rPr>
        <w:t xml:space="preserve">5199 sayılı Kanun, md. 3(o).</w:t>
      </w:r>
    </w:p>
  </w:footnote>
  <w:footnote w:id="17">
    <w:p>
      <w:pPr>
        <w:spacing w:line="240"/>
        <w:jc w:val="left"/>
      </w:pPr>
      <w:r>
        <w:rPr>
          <w:rStyle w:val="FootnoteReference"/>
        </w:rPr>
        <w:footnoteRef/>
      </w:r>
      <w:r>
        <w:rPr>
          <w:rFonts w:ascii="Times New Roman" w:cs="Times New Roman" w:eastAsia="Times New Roman" w:hAnsi="Times New Roman"/>
          <w:sz w:val="20"/>
          <w:szCs w:val="20"/>
        </w:rPr>
        <w:t xml:space="preserve">5199 sayılı Kanun, md. 8(2), 13(3)–(4) ve 14(1)(e). İhlaller 28(d), (ı) ve (j). maddeler uyarınca hayvan başına idari para cezasına tabidir; 13(4). madde için ceza, ihlal bir işletme tarafından işlendiğinde hayvan başına 2.200 TL'den 5.500 TL'ye yükselmektedir.</w:t>
      </w:r>
    </w:p>
  </w:footnote>
  <w:footnote w:id="18">
    <w:p>
      <w:pPr>
        <w:spacing w:line="240"/>
        <w:jc w:val="left"/>
      </w:pPr>
      <w:r>
        <w:rPr>
          <w:rStyle w:val="FootnoteReference"/>
        </w:rPr>
        <w:footnoteRef/>
      </w:r>
      <w:r>
        <w:rPr>
          <w:rFonts w:ascii="Times New Roman" w:cs="Times New Roman" w:eastAsia="Times New Roman" w:hAnsi="Times New Roman"/>
          <w:sz w:val="20"/>
          <w:szCs w:val="20"/>
        </w:rPr>
        <w:t xml:space="preserve">Sucul Yönetmelik, md. 2 ve 4; B. Demirel ve G. Uluköy, "Hayvan refahı bakış açısı ile bilimsel çalışmalarda sucul omurgalı canlıların kullanımının mevzuat açısından incelenmesi," </w:t>
      </w:r>
      <w:r>
        <w:rPr>
          <w:rFonts w:ascii="Times New Roman" w:cs="Times New Roman" w:eastAsia="Times New Roman" w:hAnsi="Times New Roman"/>
          <w:i/>
          <w:iCs/>
          <w:sz w:val="20"/>
          <w:szCs w:val="20"/>
        </w:rPr>
        <w:t xml:space="preserve">Mediterranean Fisheries and Aquaculture Research</w:t>
      </w:r>
      <w:r>
        <w:rPr>
          <w:rFonts w:ascii="Times New Roman" w:cs="Times New Roman" w:eastAsia="Times New Roman" w:hAnsi="Times New Roman"/>
          <w:sz w:val="20"/>
          <w:szCs w:val="20"/>
        </w:rPr>
        <w:t xml:space="preserve"> 8, no. 2 (2025): 116–17, https://doi.org/10.63039/medfar.1818317.</w:t>
      </w:r>
    </w:p>
  </w:footnote>
  <w:footnote w:id="19">
    <w:p>
      <w:pPr>
        <w:spacing w:line="240"/>
        <w:jc w:val="left"/>
      </w:pPr>
      <w:r>
        <w:rPr>
          <w:rStyle w:val="FootnoteReference"/>
        </w:rPr>
        <w:footnoteRef/>
      </w:r>
      <w:r>
        <w:rPr>
          <w:rFonts w:ascii="Times New Roman" w:cs="Times New Roman" w:eastAsia="Times New Roman" w:hAnsi="Times New Roman"/>
          <w:sz w:val="20"/>
          <w:szCs w:val="20"/>
        </w:rPr>
        <w:t xml:space="preserve">Demirel ve Uluköy, "Hayvan refahı bakış açısı," 121.</w:t>
      </w:r>
    </w:p>
  </w:footnote>
  <w:footnote w:id="20">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59.</w:t>
      </w:r>
    </w:p>
  </w:footnote>
  <w:footnote w:id="21">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36 ve 38(1)–(2).</w:t>
      </w:r>
    </w:p>
  </w:footnote>
  <w:footnote w:id="22">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38(3)–(4).</w:t>
      </w:r>
    </w:p>
  </w:footnote>
  <w:footnote w:id="23">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41.</w:t>
      </w:r>
    </w:p>
  </w:footnote>
  <w:footnote w:id="24">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40(3).</w:t>
      </w:r>
    </w:p>
  </w:footnote>
  <w:footnote w:id="25">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39(2) ve 43(1).</w:t>
      </w:r>
    </w:p>
  </w:footnote>
  <w:footnote w:id="26">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26–27.</w:t>
      </w:r>
    </w:p>
  </w:footnote>
  <w:footnote w:id="27">
    <w:p>
      <w:pPr>
        <w:spacing w:line="240"/>
        <w:jc w:val="left"/>
      </w:pPr>
      <w:r>
        <w:rPr>
          <w:rStyle w:val="FootnoteReference"/>
        </w:rPr>
        <w:footnoteRef/>
      </w:r>
      <w:r>
        <w:rPr>
          <w:rFonts w:ascii="Times New Roman" w:cs="Times New Roman" w:eastAsia="Times New Roman" w:hAnsi="Times New Roman"/>
          <w:sz w:val="20"/>
          <w:szCs w:val="20"/>
        </w:rPr>
        <w:t xml:space="preserve">Refah Yönetmeliği, md. 4(k), 11 ve 12. 2019 değişikliği başvuruların il müdürlüklerine yapılmasını öngörmüş ve elektronik başvuruya imkân tanımıştır.</w:t>
      </w:r>
    </w:p>
  </w:footnote>
  <w:footnote w:id="28">
    <w:p>
      <w:pPr>
        <w:spacing w:line="240"/>
        <w:jc w:val="left"/>
      </w:pPr>
      <w:r>
        <w:rPr>
          <w:rStyle w:val="FootnoteReference"/>
        </w:rPr>
        <w:footnoteRef/>
      </w:r>
      <w:r>
        <w:rPr>
          <w:rFonts w:ascii="Times New Roman" w:cs="Times New Roman" w:eastAsia="Times New Roman" w:hAnsi="Times New Roman"/>
          <w:sz w:val="20"/>
          <w:szCs w:val="20"/>
        </w:rPr>
        <w:t xml:space="preserve">Refah Yönetmeliği, md. 19(1), 2019'da değişik.</w:t>
      </w:r>
    </w:p>
  </w:footnote>
  <w:footnote w:id="29">
    <w:p>
      <w:pPr>
        <w:spacing w:line="240"/>
        <w:jc w:val="left"/>
      </w:pPr>
      <w:r>
        <w:rPr>
          <w:rStyle w:val="FootnoteReference"/>
        </w:rPr>
        <w:footnoteRef/>
      </w:r>
      <w:r>
        <w:rPr>
          <w:rFonts w:ascii="Times New Roman" w:cs="Times New Roman" w:eastAsia="Times New Roman" w:hAnsi="Times New Roman"/>
          <w:sz w:val="20"/>
          <w:szCs w:val="20"/>
        </w:rPr>
        <w:t xml:space="preserve">Refah Yönetmeliği, md. 14(3), 17(2), 22(3), 23(2) ve 26(5).</w:t>
      </w:r>
    </w:p>
  </w:footnote>
  <w:footnote w:id="30">
    <w:p>
      <w:pPr>
        <w:spacing w:line="240"/>
        <w:jc w:val="left"/>
      </w:pPr>
      <w:r>
        <w:rPr>
          <w:rStyle w:val="FootnoteReference"/>
        </w:rPr>
        <w:footnoteRef/>
      </w:r>
      <w:r>
        <w:rPr>
          <w:rFonts w:ascii="Times New Roman" w:cs="Times New Roman" w:eastAsia="Times New Roman" w:hAnsi="Times New Roman"/>
          <w:sz w:val="20"/>
          <w:szCs w:val="20"/>
        </w:rPr>
        <w:t xml:space="preserve">Refah Yönetmeliği, md. 8 ve 9.</w:t>
      </w:r>
    </w:p>
  </w:footnote>
  <w:footnote w:id="31">
    <w:p>
      <w:pPr>
        <w:spacing w:line="240"/>
        <w:jc w:val="left"/>
      </w:pPr>
      <w:r>
        <w:rPr>
          <w:rStyle w:val="FootnoteReference"/>
        </w:rPr>
        <w:footnoteRef/>
      </w:r>
      <w:r>
        <w:rPr>
          <w:rFonts w:ascii="Times New Roman" w:cs="Times New Roman" w:eastAsia="Times New Roman" w:hAnsi="Times New Roman"/>
          <w:sz w:val="20"/>
          <w:szCs w:val="20"/>
        </w:rPr>
        <w:t xml:space="preserve">5199 sayılı Kanun, md. 9(4)–(5).</w:t>
      </w:r>
    </w:p>
  </w:footnote>
  <w:footnote w:id="32">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3.</w:t>
      </w:r>
    </w:p>
  </w:footnote>
  <w:footnote w:id="33">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6 ve 7.</w:t>
      </w:r>
    </w:p>
  </w:footnote>
  <w:footnote w:id="34">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8(1)–(4).</w:t>
      </w:r>
    </w:p>
  </w:footnote>
  <w:footnote w:id="35">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6 ve 8(8)(a)–(b) ve (h).</w:t>
      </w:r>
    </w:p>
  </w:footnote>
  <w:footnote w:id="36">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15(1).</w:t>
      </w:r>
    </w:p>
  </w:footnote>
  <w:footnote w:id="37">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15(2)–(3).</w:t>
      </w:r>
    </w:p>
  </w:footnote>
  <w:footnote w:id="38">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8(8)(d), (e) ve (ğ), 16(1)–(3) ve 17(2); karş. 2010/63/AB sayılı Direktif, md. 39(2), 40(3), 41 ve 43.</w:t>
      </w:r>
    </w:p>
  </w:footnote>
  <w:footnote w:id="39">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8(8)(k).</w:t>
      </w:r>
    </w:p>
  </w:footnote>
  <w:footnote w:id="40">
    <w:p>
      <w:pPr>
        <w:spacing w:line="240"/>
        <w:jc w:val="left"/>
      </w:pPr>
      <w:r>
        <w:rPr>
          <w:rStyle w:val="FootnoteReference"/>
        </w:rPr>
        <w:footnoteRef/>
      </w:r>
      <w:r>
        <w:rPr>
          <w:rFonts w:ascii="Times New Roman" w:cs="Times New Roman" w:eastAsia="Times New Roman" w:hAnsi="Times New Roman"/>
          <w:sz w:val="20"/>
          <w:szCs w:val="20"/>
        </w:rPr>
        <w:t xml:space="preserve">D. Hajosi ve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19, no. 2 (2024): e0297375, 6–9, 19–20, https://doi.org/10.1371/journal.pone.0297375.</w:t>
      </w:r>
    </w:p>
  </w:footnote>
  <w:footnote w:id="41">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59(1).</w:t>
      </w:r>
    </w:p>
  </w:footnote>
  <w:footnote w:id="42">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8(2)–(4).</w:t>
      </w:r>
    </w:p>
  </w:footnote>
  <w:footnote w:id="43">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7(1)(f) ve 21(2).</w:t>
      </w:r>
    </w:p>
  </w:footnote>
  <w:footnote w:id="44">
    <w:p>
      <w:pPr>
        <w:spacing w:line="240"/>
        <w:jc w:val="left"/>
      </w:pPr>
      <w:r>
        <w:rPr>
          <w:rStyle w:val="FootnoteReference"/>
        </w:rPr>
        <w:footnoteRef/>
      </w:r>
      <w:r>
        <w:rPr>
          <w:rFonts w:ascii="Times New Roman" w:cs="Times New Roman" w:eastAsia="Times New Roman" w:hAnsi="Times New Roman"/>
          <w:sz w:val="20"/>
          <w:szCs w:val="20"/>
        </w:rPr>
        <w:t xml:space="preserve">Sucul Yönetmelik, md. 31/A–31/C,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32052, 23 Aralık 2022 ile eklendi; md. 31/A(1),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S. 32529, 27 Nisan 2024 ile değişik; beş yıllık çalışma izinleri, en fazla üç yıllık proje onayları ve damızlıklardan yumurta ve sperm sağımı gibi hangi faaliyetlerin prosedür sayıldığı konusundaki tekrarlanan belirsizlik dâhil sistemin işleyişi hakkında bkz. Demirel ve Uluköy, "Hayvan refahı bakış açısı," 116–19 ve 122.</w:t>
      </w:r>
    </w:p>
  </w:footnote>
  <w:footnote w:id="45">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7(1)(b) ve 8(8)(c).</w:t>
      </w:r>
    </w:p>
  </w:footnote>
  <w:footnote w:id="46">
    <w:p>
      <w:pPr>
        <w:spacing w:line="240"/>
        <w:jc w:val="left"/>
      </w:pPr>
      <w:r>
        <w:rPr>
          <w:rStyle w:val="FootnoteReference"/>
        </w:rPr>
        <w:footnoteRef/>
      </w:r>
      <w:r>
        <w:rPr>
          <w:rFonts w:ascii="Times New Roman" w:cs="Times New Roman" w:eastAsia="Times New Roman" w:hAnsi="Times New Roman"/>
          <w:sz w:val="20"/>
          <w:szCs w:val="20"/>
        </w:rPr>
        <w:t xml:space="preserve">İzmir Yüksek Teknoloji Enstitüsü, </w:t>
      </w:r>
      <w:r>
        <w:rPr>
          <w:rFonts w:ascii="Times New Roman" w:cs="Times New Roman" w:eastAsia="Times New Roman" w:hAnsi="Times New Roman"/>
          <w:i/>
          <w:iCs/>
          <w:sz w:val="20"/>
          <w:szCs w:val="20"/>
        </w:rPr>
        <w:t xml:space="preserve">İYTE Hayvan Deneyleri Yerel Etik Kurulu Yönergesi</w:t>
      </w:r>
      <w:r>
        <w:rPr>
          <w:rFonts w:ascii="Times New Roman" w:cs="Times New Roman" w:eastAsia="Times New Roman" w:hAnsi="Times New Roman"/>
          <w:sz w:val="20"/>
          <w:szCs w:val="20"/>
        </w:rPr>
        <w:t xml:space="preserve"> (İzmir: İYTE, 2014); İstanbul Medipol Üniversitesi, </w:t>
      </w:r>
      <w:r>
        <w:rPr>
          <w:rFonts w:ascii="Times New Roman" w:cs="Times New Roman" w:eastAsia="Times New Roman" w:hAnsi="Times New Roman"/>
          <w:i/>
          <w:iCs/>
          <w:sz w:val="20"/>
          <w:szCs w:val="20"/>
        </w:rPr>
        <w:t xml:space="preserve">Hayvan Deneyleri Yerel Etik Kurulu Yönergesi</w:t>
      </w:r>
      <w:r>
        <w:rPr>
          <w:rFonts w:ascii="Times New Roman" w:cs="Times New Roman" w:eastAsia="Times New Roman" w:hAnsi="Times New Roman"/>
          <w:sz w:val="20"/>
          <w:szCs w:val="20"/>
        </w:rPr>
        <w:t xml:space="preserve"> (İstanbul: Medipol Üniversitesi, t.y.); İstanbul Üniversitesi-Cerrahpaşa, </w:t>
      </w:r>
      <w:r>
        <w:rPr>
          <w:rFonts w:ascii="Times New Roman" w:cs="Times New Roman" w:eastAsia="Times New Roman" w:hAnsi="Times New Roman"/>
          <w:i/>
          <w:iCs/>
          <w:sz w:val="20"/>
          <w:szCs w:val="20"/>
        </w:rPr>
        <w:t xml:space="preserve">Hayvan Deneyleri Yerel Etik Kurulu (İÜC-HADYEK) Yönergesi</w:t>
      </w:r>
      <w:r>
        <w:rPr>
          <w:rFonts w:ascii="Times New Roman" w:cs="Times New Roman" w:eastAsia="Times New Roman" w:hAnsi="Times New Roman"/>
          <w:sz w:val="20"/>
          <w:szCs w:val="20"/>
        </w:rPr>
        <w:t xml:space="preserve"> (İstanbul: İÜC, 2021).</w:t>
      </w:r>
    </w:p>
  </w:footnote>
  <w:footnote w:id="47">
    <w:p>
      <w:pPr>
        <w:spacing w:line="240"/>
        <w:jc w:val="left"/>
      </w:pPr>
      <w:r>
        <w:rPr>
          <w:rStyle w:val="FootnoteReference"/>
        </w:rPr>
        <w:footnoteRef/>
      </w:r>
      <w:r>
        <w:rPr>
          <w:rFonts w:ascii="Times New Roman" w:cs="Times New Roman" w:eastAsia="Times New Roman" w:hAnsi="Times New Roman"/>
          <w:sz w:val="20"/>
          <w:szCs w:val="20"/>
        </w:rPr>
        <w:t xml:space="preserve">5199 sayılı Kanun, md. 9(1)–(3).</w:t>
      </w:r>
    </w:p>
  </w:footnote>
  <w:footnote w:id="48">
    <w:p>
      <w:pPr>
        <w:spacing w:line="240"/>
        <w:jc w:val="left"/>
      </w:pPr>
      <w:r>
        <w:rPr>
          <w:rStyle w:val="FootnoteReference"/>
        </w:rPr>
        <w:footnoteRef/>
      </w:r>
      <w:r>
        <w:rPr>
          <w:rFonts w:ascii="Times New Roman" w:cs="Times New Roman" w:eastAsia="Times New Roman" w:hAnsi="Times New Roman"/>
          <w:sz w:val="20"/>
          <w:szCs w:val="20"/>
        </w:rPr>
        <w:t xml:space="preserve">5199 sayılı Kanun, md. 10(7).</w:t>
      </w:r>
    </w:p>
  </w:footnote>
  <w:footnote w:id="49">
    <w:p>
      <w:pPr>
        <w:spacing w:line="240"/>
        <w:jc w:val="left"/>
      </w:pPr>
      <w:r>
        <w:rPr>
          <w:rStyle w:val="FootnoteReference"/>
        </w:rPr>
        <w:footnoteRef/>
      </w:r>
      <w:r>
        <w:rPr>
          <w:rFonts w:ascii="Times New Roman" w:cs="Times New Roman" w:eastAsia="Times New Roman" w:hAnsi="Times New Roman"/>
          <w:sz w:val="20"/>
          <w:szCs w:val="20"/>
        </w:rPr>
        <w:t xml:space="preserve">5199 sayılı Kanun, md. 9(2)–(3); Refah Yönetmeliği, md. 26.</w:t>
      </w:r>
    </w:p>
  </w:footnote>
  <w:footnote w:id="50">
    <w:p>
      <w:pPr>
        <w:spacing w:line="240"/>
        <w:jc w:val="left"/>
      </w:pPr>
      <w:r>
        <w:rPr>
          <w:rStyle w:val="FootnoteReference"/>
        </w:rPr>
        <w:footnoteRef/>
      </w:r>
      <w:r>
        <w:rPr>
          <w:rFonts w:ascii="Times New Roman" w:cs="Times New Roman" w:eastAsia="Times New Roman" w:hAnsi="Times New Roman"/>
          <w:sz w:val="20"/>
          <w:szCs w:val="20"/>
        </w:rPr>
        <w:t xml:space="preserve">Refah Yönetmeliği, md. 22(1) ve Ek-8; Sucul Yönetmelik, md. 20(1) ve Ek-3.</w:t>
      </w:r>
    </w:p>
  </w:footnote>
  <w:footnote w:id="51">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15(2) ve 55(3)–(4).</w:t>
      </w:r>
    </w:p>
  </w:footnote>
  <w:footnote w:id="52">
    <w:p>
      <w:pPr>
        <w:spacing w:line="240"/>
        <w:jc w:val="left"/>
      </w:pPr>
      <w:r>
        <w:rPr>
          <w:rStyle w:val="FootnoteReference"/>
        </w:rPr>
        <w:footnoteRef/>
      </w:r>
      <w:r>
        <w:rPr>
          <w:rFonts w:ascii="Times New Roman" w:cs="Times New Roman" w:eastAsia="Times New Roman" w:hAnsi="Times New Roman"/>
          <w:sz w:val="20"/>
          <w:szCs w:val="20"/>
        </w:rPr>
        <w:t xml:space="preserve">Refah Yönetmeliği, md. 22(2)–(3); Sucul Yönetmelik, md. 20(2)–(3).</w:t>
      </w:r>
    </w:p>
  </w:footnote>
  <w:footnote w:id="53">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10(m) ve 17(2).</w:t>
      </w:r>
    </w:p>
  </w:footnote>
  <w:footnote w:id="54">
    <w:p>
      <w:pPr>
        <w:spacing w:line="240"/>
        <w:jc w:val="left"/>
      </w:pPr>
      <w:r>
        <w:rPr>
          <w:rStyle w:val="FootnoteReference"/>
        </w:rPr>
        <w:footnoteRef/>
      </w:r>
      <w:r>
        <w:rPr>
          <w:rFonts w:ascii="Times New Roman" w:cs="Times New Roman" w:eastAsia="Times New Roman" w:hAnsi="Times New Roman"/>
          <w:sz w:val="20"/>
          <w:szCs w:val="20"/>
        </w:rPr>
        <w:t xml:space="preserve">H. Grimm ve M. Dusseldorp, "The (Re)turn of the 3Rs: An Inquiry into the Normative Nature of Russell and Burch's Principles of Humane Experimental Technique,"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59, no. 5 (2025): 557–60, https://doi.org/10.1177/00236772251326352.</w:t>
      </w:r>
    </w:p>
  </w:footnote>
  <w:footnote w:id="55">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23(1)–(2).</w:t>
      </w:r>
    </w:p>
  </w:footnote>
  <w:footnote w:id="56">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32(2)–(4) ve Ek-10; Sucul Yönetmelik, Ek-4.</w:t>
      </w:r>
    </w:p>
  </w:footnote>
  <w:footnote w:id="57">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32(4).</w:t>
      </w:r>
    </w:p>
  </w:footnote>
  <w:footnote w:id="58">
    <w:p>
      <w:pPr>
        <w:spacing w:line="240"/>
        <w:jc w:val="left"/>
      </w:pPr>
      <w:r>
        <w:rPr>
          <w:rStyle w:val="FootnoteReference"/>
        </w:rPr>
        <w:footnoteRef/>
      </w:r>
      <w:r>
        <w:rPr>
          <w:rFonts w:ascii="Times New Roman" w:cs="Times New Roman" w:eastAsia="Times New Roman" w:hAnsi="Times New Roman"/>
          <w:sz w:val="20"/>
          <w:szCs w:val="20"/>
        </w:rPr>
        <w:t xml:space="preserve">Sucul Yönetmelik, md. 29(2).</w:t>
      </w:r>
    </w:p>
  </w:footnote>
  <w:footnote w:id="59">
    <w:p>
      <w:pPr>
        <w:spacing w:line="240"/>
        <w:jc w:val="left"/>
      </w:pPr>
      <w:r>
        <w:rPr>
          <w:rStyle w:val="FootnoteReference"/>
        </w:rPr>
        <w:footnoteRef/>
      </w:r>
      <w:r>
        <w:rPr>
          <w:rFonts w:ascii="Times New Roman" w:cs="Times New Roman" w:eastAsia="Times New Roman" w:hAnsi="Times New Roman"/>
          <w:sz w:val="20"/>
          <w:szCs w:val="20"/>
        </w:rPr>
        <w:t xml:space="preserve">Refah Yönetmeliği, md. 4(ş) ve 30(1)(b).</w:t>
      </w:r>
    </w:p>
  </w:footnote>
  <w:footnote w:id="60">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8(2)(a), 10(g) ve 18(c).</w:t>
      </w:r>
    </w:p>
  </w:footnote>
  <w:footnote w:id="61">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6(2) ve 25; Ł. Kiraga ve A. Dzikowski, "Ethical Concerns of the Veterinarian in Relation to Experimental Animals and </w:t>
      </w:r>
      <w:r>
        <w:rPr>
          <w:rFonts w:ascii="Times New Roman" w:cs="Times New Roman" w:eastAsia="Times New Roman" w:hAnsi="Times New Roman"/>
          <w:i/>
          <w:iCs/>
          <w:sz w:val="20"/>
          <w:szCs w:val="20"/>
        </w:rPr>
        <w:t xml:space="preserve">in Vivo</w:t>
      </w:r>
      <w:r>
        <w:rPr>
          <w:rFonts w:ascii="Times New Roman" w:cs="Times New Roman" w:eastAsia="Times New Roman" w:hAnsi="Times New Roman"/>
          <w:sz w:val="20"/>
          <w:szCs w:val="20"/>
        </w:rPr>
        <w:t xml:space="preserve"> Research," </w:t>
      </w:r>
      <w:r>
        <w:rPr>
          <w:rFonts w:ascii="Times New Roman" w:cs="Times New Roman" w:eastAsia="Times New Roman" w:hAnsi="Times New Roman"/>
          <w:i/>
          <w:iCs/>
          <w:sz w:val="20"/>
          <w:szCs w:val="20"/>
        </w:rPr>
        <w:t xml:space="preserve">Animals</w:t>
      </w:r>
      <w:r>
        <w:rPr>
          <w:rFonts w:ascii="Times New Roman" w:cs="Times New Roman" w:eastAsia="Times New Roman" w:hAnsi="Times New Roman"/>
          <w:sz w:val="20"/>
          <w:szCs w:val="20"/>
        </w:rPr>
        <w:t xml:space="preserve"> 13, no. 15 (2023): 2476, 8, https://doi.org/10.3390/ani13152476.</w:t>
      </w:r>
    </w:p>
  </w:footnote>
  <w:footnote w:id="62">
    <w:p>
      <w:pPr>
        <w:spacing w:line="240"/>
        <w:jc w:val="left"/>
      </w:pPr>
      <w:r>
        <w:rPr>
          <w:rStyle w:val="FootnoteReference"/>
        </w:rPr>
        <w:footnoteRef/>
      </w:r>
      <w:r>
        <w:rPr>
          <w:rFonts w:ascii="Times New Roman" w:cs="Times New Roman" w:eastAsia="Times New Roman" w:hAnsi="Times New Roman"/>
          <w:sz w:val="20"/>
          <w:szCs w:val="20"/>
        </w:rPr>
        <w:t xml:space="preserve">Demirel ve Uluköy, "Hayvan refahı bakış açısı," 118.</w:t>
      </w:r>
    </w:p>
  </w:footnote>
  <w:footnote w:id="63">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18(a)–(d), (f) ve (ğ)–(m).</w:t>
      </w:r>
    </w:p>
  </w:footnote>
  <w:footnote w:id="64">
    <w:p>
      <w:pPr>
        <w:spacing w:line="240"/>
        <w:jc w:val="left"/>
      </w:pPr>
      <w:r>
        <w:rPr>
          <w:rStyle w:val="FootnoteReference"/>
        </w:rPr>
        <w:footnoteRef/>
      </w:r>
      <w:r>
        <w:rPr>
          <w:rFonts w:ascii="Times New Roman" w:cs="Times New Roman" w:eastAsia="Times New Roman" w:hAnsi="Times New Roman"/>
          <w:sz w:val="20"/>
          <w:szCs w:val="20"/>
        </w:rPr>
        <w:t xml:space="preserve">Hayvan Deneyleri Merkezi Etik Kurulu [HADMEK], </w:t>
      </w:r>
      <w:r>
        <w:rPr>
          <w:rFonts w:ascii="Times New Roman" w:cs="Times New Roman" w:eastAsia="Times New Roman" w:hAnsi="Times New Roman"/>
          <w:i/>
          <w:iCs/>
          <w:sz w:val="20"/>
          <w:szCs w:val="20"/>
        </w:rPr>
        <w:t xml:space="preserve">2015–2016 yılları Hayvan Deneyleri Merkezi Etik Kurulu faaliyet raporu</w:t>
      </w:r>
      <w:r>
        <w:rPr>
          <w:rFonts w:ascii="Times New Roman" w:cs="Times New Roman" w:eastAsia="Times New Roman" w:hAnsi="Times New Roman"/>
          <w:sz w:val="20"/>
          <w:szCs w:val="20"/>
        </w:rPr>
        <w:t xml:space="preserve"> (Ankara: T.C. Orman ve Su İşleri Bakanlığı, 2017); HADMEK, </w:t>
      </w:r>
      <w:r>
        <w:rPr>
          <w:rFonts w:ascii="Times New Roman" w:cs="Times New Roman" w:eastAsia="Times New Roman" w:hAnsi="Times New Roman"/>
          <w:i/>
          <w:iCs/>
          <w:sz w:val="20"/>
          <w:szCs w:val="20"/>
        </w:rPr>
        <w:t xml:space="preserve">2026 yılı deney hayvanı kullanım sertifikası eğitim programları listesi</w:t>
      </w:r>
      <w:r>
        <w:rPr>
          <w:rFonts w:ascii="Times New Roman" w:cs="Times New Roman" w:eastAsia="Times New Roman" w:hAnsi="Times New Roman"/>
          <w:sz w:val="20"/>
          <w:szCs w:val="20"/>
        </w:rPr>
        <w:t xml:space="preserve">, 25 Eylül 2026, erişim tarihi 28 Eylül 2026, https://hadmek.tarimorman.gov.tr/Duyuru/Detay/16896.</w:t>
      </w:r>
    </w:p>
  </w:footnote>
  <w:footnote w:id="65">
    <w:p>
      <w:pPr>
        <w:spacing w:line="240"/>
        <w:jc w:val="left"/>
      </w:pPr>
      <w:r>
        <w:rPr>
          <w:rStyle w:val="FootnoteReference"/>
        </w:rPr>
        <w:footnoteRef/>
      </w:r>
      <w:r>
        <w:rPr>
          <w:rFonts w:ascii="Times New Roman" w:cs="Times New Roman" w:eastAsia="Times New Roman" w:hAnsi="Times New Roman"/>
          <w:sz w:val="20"/>
          <w:szCs w:val="20"/>
        </w:rPr>
        <w:t xml:space="preserve">FELASA, "Education &amp; Training."</w:t>
      </w:r>
    </w:p>
  </w:footnote>
  <w:footnote w:id="66">
    <w:p>
      <w:pPr>
        <w:spacing w:line="240"/>
        <w:jc w:val="left"/>
      </w:pPr>
      <w:r>
        <w:rPr>
          <w:rStyle w:val="FootnoteReference"/>
        </w:rPr>
        <w:footnoteRef/>
      </w:r>
      <w:r>
        <w:rPr>
          <w:rFonts w:ascii="Times New Roman" w:cs="Times New Roman" w:eastAsia="Times New Roman" w:hAnsi="Times New Roman"/>
          <w:sz w:val="20"/>
          <w:szCs w:val="20"/>
        </w:rPr>
        <w:t xml:space="preserve">5199 sayılı Kanun, md. 7(1), 9(6) ve 28.</w:t>
      </w:r>
    </w:p>
  </w:footnote>
  <w:footnote w:id="67">
    <w:p>
      <w:pPr>
        <w:spacing w:line="240"/>
        <w:jc w:val="left"/>
      </w:pPr>
      <w:r>
        <w:rPr>
          <w:rStyle w:val="FootnoteReference"/>
        </w:rPr>
        <w:footnoteRef/>
      </w:r>
      <w:r>
        <w:rPr>
          <w:rFonts w:ascii="Times New Roman" w:cs="Times New Roman" w:eastAsia="Times New Roman" w:hAnsi="Times New Roman"/>
          <w:sz w:val="20"/>
          <w:szCs w:val="20"/>
        </w:rPr>
        <w:t xml:space="preserve">K. Bayne, T. H. Morris ve M. P. France, "Legislation and Oversight of the Conduct of Research Using Animals: A Global Overview," </w:t>
      </w:r>
      <w:r>
        <w:rPr>
          <w:rFonts w:ascii="Times New Roman" w:cs="Times New Roman" w:eastAsia="Times New Roman" w:hAnsi="Times New Roman"/>
          <w:i/>
          <w:iCs/>
          <w:sz w:val="20"/>
          <w:szCs w:val="20"/>
        </w:rPr>
        <w:t xml:space="preserve">The UFAW Handbook on the Care and Management of Laboratory and Other Research Animals</w:t>
      </w:r>
      <w:r>
        <w:rPr>
          <w:rFonts w:ascii="Times New Roman" w:cs="Times New Roman" w:eastAsia="Times New Roman" w:hAnsi="Times New Roman"/>
          <w:sz w:val="20"/>
          <w:szCs w:val="20"/>
        </w:rPr>
        <w:t xml:space="preserve"> içinde, 8. bs., ed. R. Hubrecht ve J. Kirkwood (Chichester: Wiley-Blackwell, 2010), 111.</w:t>
      </w:r>
    </w:p>
  </w:footnote>
  <w:footnote w:id="68">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37.</w:t>
      </w:r>
    </w:p>
  </w:footnote>
  <w:footnote w:id="69">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7(1)(c)–(d) ve 20; 5199 sayılı Kanun, md. 17(1) ve 25.</w:t>
      </w:r>
    </w:p>
  </w:footnote>
  <w:footnote w:id="70">
    <w:p>
      <w:pPr>
        <w:spacing w:line="240"/>
        <w:jc w:val="left"/>
      </w:pPr>
      <w:r>
        <w:rPr>
          <w:rStyle w:val="FootnoteReference"/>
        </w:rPr>
        <w:footnoteRef/>
      </w:r>
      <w:r>
        <w:rPr>
          <w:rFonts w:ascii="Times New Roman" w:cs="Times New Roman" w:eastAsia="Times New Roman" w:hAnsi="Times New Roman"/>
          <w:sz w:val="20"/>
          <w:szCs w:val="20"/>
        </w:rPr>
        <w:t xml:space="preserve">Sucul Yönetmelik, md. 32.</w:t>
      </w:r>
    </w:p>
  </w:footnote>
  <w:footnote w:id="71">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yılları deney hayvanı kullanımı faaliyet raporu</w:t>
      </w:r>
      <w:r>
        <w:rPr>
          <w:rFonts w:ascii="Times New Roman" w:cs="Times New Roman" w:eastAsia="Times New Roman" w:hAnsi="Times New Roman"/>
          <w:sz w:val="20"/>
          <w:szCs w:val="20"/>
        </w:rPr>
        <w:t xml:space="preserve"> (Ankara: T.C. Orman ve Su İşleri Bakanlığı, 2015).</w:t>
      </w:r>
    </w:p>
  </w:footnote>
  <w:footnote w:id="72">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35 ve 54(1).</w:t>
      </w:r>
    </w:p>
  </w:footnote>
  <w:footnote w:id="73">
    <w:p>
      <w:pPr>
        <w:spacing w:line="240"/>
        <w:jc w:val="left"/>
      </w:pPr>
      <w:r>
        <w:rPr>
          <w:rStyle w:val="FootnoteReference"/>
        </w:rPr>
        <w:footnoteRef/>
      </w:r>
      <w:r>
        <w:rPr>
          <w:rFonts w:ascii="Times New Roman" w:cs="Times New Roman" w:eastAsia="Times New Roman" w:hAnsi="Times New Roman"/>
          <w:sz w:val="20"/>
          <w:szCs w:val="20"/>
        </w:rPr>
        <w:t xml:space="preserve">Bayne, Morris ve France, "Legislation and Oversight," 111.</w:t>
      </w:r>
    </w:p>
  </w:footnote>
  <w:footnote w:id="74">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39; Sucul Yönetmelik, md. 34.</w:t>
      </w:r>
    </w:p>
  </w:footnote>
  <w:footnote w:id="75">
    <w:p>
      <w:pPr>
        <w:spacing w:line="240"/>
        <w:jc w:val="left"/>
      </w:pPr>
      <w:r>
        <w:rPr>
          <w:rStyle w:val="FootnoteReference"/>
        </w:rPr>
        <w:footnoteRef/>
      </w:r>
      <w:r>
        <w:rPr>
          <w:rFonts w:ascii="Times New Roman" w:cs="Times New Roman" w:eastAsia="Times New Roman" w:hAnsi="Times New Roman"/>
          <w:sz w:val="20"/>
          <w:szCs w:val="20"/>
        </w:rPr>
        <w:t xml:space="preserve">5996 sayılı Kanun, md. 36(1)(e), (g) ve (i). Yalnızca 36(1)(f) bendindeki nakil belgesi cezaları yakın zamanda, 2026 tarihli ve 7584 sayılı Kanunla çoğu tür için araç başına 26.360 TL'ye yükseltilmiştir. İdari para cezaları her yıl yeniden değerlendiğinden güncel tutarlar bu temel rakamları aşmaktadır; güncel tutarlar bu çalışma için doğrulanmamıştır.</w:t>
      </w:r>
    </w:p>
  </w:footnote>
  <w:footnote w:id="76">
    <w:p>
      <w:pPr>
        <w:spacing w:line="240"/>
        <w:jc w:val="left"/>
      </w:pPr>
      <w:r>
        <w:rPr>
          <w:rStyle w:val="FootnoteReference"/>
        </w:rPr>
        <w:footnoteRef/>
      </w:r>
      <w:r>
        <w:rPr>
          <w:rFonts w:ascii="Times New Roman" w:cs="Times New Roman" w:eastAsia="Times New Roman" w:hAnsi="Times New Roman"/>
          <w:sz w:val="20"/>
          <w:szCs w:val="20"/>
        </w:rPr>
        <w:t xml:space="preserve">5199 sayılı Kanun, md. 28(e); Etik Kurul Yönetmeliği, md. 21(1). Yönetmelik 28(1)(f). maddeye atıf yapmaktadır; güncel metinde 9. maddeye ilişkin cezalar 28(e). bentte yer almaktadır; bu, görünüşe göre bentlerin 2021'de yeniden harflendirilmesinden geriye kalmış bir atıftır.</w:t>
      </w:r>
    </w:p>
  </w:footnote>
  <w:footnote w:id="77">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21(2).</w:t>
      </w:r>
    </w:p>
  </w:footnote>
  <w:footnote w:id="78">
    <w:p>
      <w:pPr>
        <w:spacing w:line="240"/>
        <w:jc w:val="left"/>
      </w:pPr>
      <w:r>
        <w:rPr>
          <w:rStyle w:val="FootnoteReference"/>
        </w:rPr>
        <w:footnoteRef/>
      </w:r>
      <w:r>
        <w:rPr>
          <w:rFonts w:ascii="Times New Roman" w:cs="Times New Roman" w:eastAsia="Times New Roman" w:hAnsi="Times New Roman"/>
          <w:sz w:val="20"/>
          <w:szCs w:val="20"/>
        </w:rPr>
        <w:t xml:space="preserve">5199 sayılı Kanun, md. 24, 28 ve 30.</w:t>
      </w:r>
    </w:p>
  </w:footnote>
  <w:footnote w:id="79">
    <w:p>
      <w:pPr>
        <w:spacing w:line="240"/>
        <w:jc w:val="left"/>
      </w:pPr>
      <w:r>
        <w:rPr>
          <w:rStyle w:val="FootnoteReference"/>
        </w:rPr>
        <w:footnoteRef/>
      </w:r>
      <w:r>
        <w:rPr>
          <w:rFonts w:ascii="Times New Roman" w:cs="Times New Roman" w:eastAsia="Times New Roman" w:hAnsi="Times New Roman"/>
          <w:sz w:val="20"/>
          <w:szCs w:val="20"/>
        </w:rPr>
        <w:t xml:space="preserve">5199 sayılı Kanun, md. 3(e) ve 28/A.</w:t>
      </w:r>
    </w:p>
  </w:footnote>
  <w:footnote w:id="80">
    <w:p>
      <w:pPr>
        <w:spacing w:line="240"/>
        <w:jc w:val="left"/>
      </w:pPr>
      <w:r>
        <w:rPr>
          <w:rStyle w:val="FootnoteReference"/>
        </w:rPr>
        <w:footnoteRef/>
      </w:r>
      <w:r>
        <w:rPr>
          <w:rFonts w:ascii="Times New Roman" w:cs="Times New Roman" w:eastAsia="Times New Roman" w:hAnsi="Times New Roman"/>
          <w:sz w:val="20"/>
          <w:szCs w:val="20"/>
        </w:rPr>
        <w:t xml:space="preserve">Avrupa Birliği, Çevreyle İlgili Mevzuat Alanındaki Raporlama Yükümlülüklerinin Uyumlaştırılmasına İlişkin 5 Haziran 2019 tarihli ve (AB) 2019/1010 sayılı Avrupa Parlamentosu ve Konsey Tüzüğü, </w:t>
      </w:r>
      <w:r>
        <w:rPr>
          <w:rFonts w:ascii="Times New Roman" w:cs="Times New Roman" w:eastAsia="Times New Roman" w:hAnsi="Times New Roman"/>
          <w:i/>
          <w:iCs/>
          <w:sz w:val="20"/>
          <w:szCs w:val="20"/>
        </w:rPr>
        <w:t xml:space="preserve">Avrupa Birliği Resmî Gazetesi</w:t>
      </w:r>
      <w:r>
        <w:rPr>
          <w:rFonts w:ascii="Times New Roman" w:cs="Times New Roman" w:eastAsia="Times New Roman" w:hAnsi="Times New Roman"/>
          <w:sz w:val="20"/>
          <w:szCs w:val="20"/>
        </w:rPr>
        <w:t xml:space="preserve"> L 170, 25 Haziran 2019, 115–27; F. Busquet, "New European Union Statistics on Laboratory Animal Use – What Really Counts!," </w:t>
      </w:r>
      <w:r>
        <w:rPr>
          <w:rFonts w:ascii="Times New Roman" w:cs="Times New Roman" w:eastAsia="Times New Roman" w:hAnsi="Times New Roman"/>
          <w:i/>
          <w:iCs/>
          <w:sz w:val="20"/>
          <w:szCs w:val="20"/>
        </w:rPr>
        <w:t xml:space="preserve">ALTEX</w:t>
      </w:r>
      <w:r>
        <w:rPr>
          <w:rFonts w:ascii="Times New Roman" w:cs="Times New Roman" w:eastAsia="Times New Roman" w:hAnsi="Times New Roman"/>
          <w:sz w:val="20"/>
          <w:szCs w:val="20"/>
        </w:rPr>
        <w:t xml:space="preserve"> 37, no. 2 (2020): 167–69, https://doi.org/10.14573/altex.2003241.</w:t>
      </w:r>
    </w:p>
  </w:footnote>
  <w:footnote w:id="81">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34(2); Etik Kurul Yönetmeliği, md. 7(1)(h) ve 9(1)(g).</w:t>
      </w:r>
    </w:p>
  </w:footnote>
  <w:footnote w:id="82">
    <w:p>
      <w:pPr>
        <w:spacing w:line="240"/>
        <w:jc w:val="left"/>
      </w:pPr>
      <w:r>
        <w:rPr>
          <w:rStyle w:val="FootnoteReference"/>
        </w:rPr>
        <w:footnoteRef/>
      </w:r>
      <w:r>
        <w:rPr>
          <w:rFonts w:ascii="Times New Roman" w:cs="Times New Roman" w:eastAsia="Times New Roman" w:hAnsi="Times New Roman"/>
          <w:sz w:val="20"/>
          <w:szCs w:val="20"/>
        </w:rPr>
        <w:t xml:space="preserve">Etik Kurul Yönetmeliği, md. 16(4).</w:t>
      </w:r>
    </w:p>
  </w:footnote>
  <w:footnote w:id="83">
    <w:p>
      <w:pPr>
        <w:spacing w:line="240"/>
        <w:jc w:val="left"/>
      </w:pPr>
      <w:r>
        <w:rPr>
          <w:rStyle w:val="FootnoteReference"/>
        </w:rPr>
        <w:footnoteRef/>
      </w:r>
      <w:r>
        <w:rPr>
          <w:rFonts w:ascii="Times New Roman" w:cs="Times New Roman" w:eastAsia="Times New Roman" w:hAnsi="Times New Roman"/>
          <w:sz w:val="20"/>
          <w:szCs w:val="20"/>
        </w:rPr>
        <w:t xml:space="preserve">S. İzmirli </w:t>
      </w:r>
      <w:r>
        <w:rPr>
          <w:rFonts w:ascii="Times New Roman" w:cs="Times New Roman" w:eastAsia="Times New Roman" w:hAnsi="Times New Roman"/>
          <w:i/>
          <w:iCs/>
          <w:sz w:val="20"/>
          <w:szCs w:val="20"/>
        </w:rPr>
        <w:t xml:space="preserve">vd.</w:t>
      </w:r>
      <w:r>
        <w:rPr>
          <w:rFonts w:ascii="Times New Roman" w:cs="Times New Roman" w:eastAsia="Times New Roman" w:hAnsi="Times New Roman"/>
          <w:sz w:val="20"/>
          <w:szCs w:val="20"/>
        </w:rPr>
        <w:t xml:space="preserve">, "Introducing Ethical Evaluation of the Use of Animals in Experiments in the Near East," </w:t>
      </w:r>
      <w:r>
        <w:rPr>
          <w:rFonts w:ascii="Times New Roman" w:cs="Times New Roman" w:eastAsia="Times New Roman" w:hAnsi="Times New Roman"/>
          <w:i/>
          <w:iCs/>
          <w:sz w:val="20"/>
          <w:szCs w:val="20"/>
        </w:rPr>
        <w:t xml:space="preserve">Alternatives to Laboratory Animals</w:t>
      </w:r>
      <w:r>
        <w:rPr>
          <w:rFonts w:ascii="Times New Roman" w:cs="Times New Roman" w:eastAsia="Times New Roman" w:hAnsi="Times New Roman"/>
          <w:sz w:val="20"/>
          <w:szCs w:val="20"/>
        </w:rPr>
        <w:t xml:space="preserve"> 38, no. 4 (2010): 331–36, https://doi.org/10.1177/026119291003800410.</w:t>
      </w:r>
    </w:p>
  </w:footnote>
  <w:footnote w:id="84">
    <w:p>
      <w:pPr>
        <w:spacing w:line="240"/>
        <w:jc w:val="left"/>
      </w:pPr>
      <w:r>
        <w:rPr>
          <w:rStyle w:val="FootnoteReference"/>
        </w:rPr>
        <w:footnoteRef/>
      </w:r>
      <w:r>
        <w:rPr>
          <w:rFonts w:ascii="Times New Roman" w:cs="Times New Roman" w:eastAsia="Times New Roman" w:hAnsi="Times New Roman"/>
          <w:sz w:val="20"/>
          <w:szCs w:val="20"/>
        </w:rPr>
        <w:t xml:space="preserve">Busquet, "New European Union Statistics," 167.</w:t>
      </w:r>
    </w:p>
  </w:footnote>
  <w:footnote w:id="85">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2015–2016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2017 yılı hayvan deneyleri istatistik raporu</w:t>
      </w:r>
      <w:r>
        <w:rPr>
          <w:rFonts w:ascii="Times New Roman" w:cs="Times New Roman" w:eastAsia="Times New Roman" w:hAnsi="Times New Roman"/>
          <w:sz w:val="20"/>
          <w:szCs w:val="20"/>
        </w:rPr>
        <w:t xml:space="preserve"> (Ankara: T.C. Orman ve Su İşleri Bakanlığı, 2018); HADMEK, </w:t>
      </w:r>
      <w:r>
        <w:rPr>
          <w:rFonts w:ascii="Times New Roman" w:cs="Times New Roman" w:eastAsia="Times New Roman" w:hAnsi="Times New Roman"/>
          <w:i/>
          <w:iCs/>
          <w:sz w:val="20"/>
          <w:szCs w:val="20"/>
        </w:rPr>
        <w:t xml:space="preserve">2018–2020 yılları Hayvan Deneyleri Merkezi Etik Kurulu faaliyet raporu</w:t>
      </w:r>
      <w:r>
        <w:rPr>
          <w:rFonts w:ascii="Times New Roman" w:cs="Times New Roman" w:eastAsia="Times New Roman" w:hAnsi="Times New Roman"/>
          <w:sz w:val="20"/>
          <w:szCs w:val="20"/>
        </w:rPr>
        <w:t xml:space="preserve"> (Ankara: T.C. Tarım ve Orman Bakanlığı, 2021).</w:t>
      </w:r>
    </w:p>
  </w:footnote>
  <w:footnote w:id="86">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w:t>
      </w:r>
    </w:p>
  </w:footnote>
  <w:footnote w:id="87">
    <w:p>
      <w:pPr>
        <w:spacing w:line="240"/>
        <w:jc w:val="left"/>
      </w:pPr>
      <w:r>
        <w:rPr>
          <w:rStyle w:val="FootnoteReference"/>
        </w:rPr>
        <w:footnoteRef/>
      </w:r>
      <w:r>
        <w:rPr>
          <w:rFonts w:ascii="Times New Roman" w:cs="Times New Roman" w:eastAsia="Times New Roman" w:hAnsi="Times New Roman"/>
          <w:sz w:val="20"/>
          <w:szCs w:val="20"/>
        </w:rPr>
        <w:t xml:space="preserve">Refah Yönetmeliği, md. 34(1); Sucul Yönetmelik, md. 30; Etik Kurul Yönetmeliği, md. 22(1) ve (3).</w:t>
      </w:r>
    </w:p>
  </w:footnote>
  <w:footnote w:id="88">
    <w:p>
      <w:pPr>
        <w:spacing w:line="240"/>
        <w:jc w:val="left"/>
      </w:pPr>
      <w:r>
        <w:rPr>
          <w:rStyle w:val="FootnoteReference"/>
        </w:rPr>
        <w:footnoteRef/>
      </w:r>
      <w:r>
        <w:rPr>
          <w:rFonts w:ascii="Times New Roman" w:cs="Times New Roman" w:eastAsia="Times New Roman" w:hAnsi="Times New Roman"/>
          <w:sz w:val="20"/>
          <w:szCs w:val="20"/>
        </w:rPr>
        <w:t xml:space="preserve">Gölcü ve Aksoy, "Avrupa Birliği ve Türkiye'de," 56–62.</w:t>
      </w:r>
    </w:p>
  </w:footnote>
  <w:footnote w:id="89">
    <w:p>
      <w:pPr>
        <w:spacing w:line="240"/>
        <w:jc w:val="left"/>
      </w:pPr>
      <w:r>
        <w:rPr>
          <w:rStyle w:val="FootnoteReference"/>
        </w:rPr>
        <w:footnoteRef/>
      </w:r>
      <w:r>
        <w:rPr>
          <w:rFonts w:ascii="Times New Roman" w:cs="Times New Roman" w:eastAsia="Times New Roman" w:hAnsi="Times New Roman"/>
          <w:sz w:val="20"/>
          <w:szCs w:val="20"/>
        </w:rPr>
        <w:t xml:space="preserve">2010/63/AB sayılı Direktif, md. 35, 43 ve 54.</w:t>
      </w:r>
    </w:p>
  </w:footnote>
  <w:footnote w:id="90">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w:t>
      </w:r>
    </w:p>
  </w:footnote>
  <w:footnote w:id="91">
    <w:p>
      <w:pPr>
        <w:spacing w:line="240"/>
        <w:jc w:val="left"/>
      </w:pPr>
      <w:r>
        <w:rPr>
          <w:rStyle w:val="FootnoteReference"/>
        </w:rPr>
        <w:footnoteRef/>
      </w:r>
      <w:r>
        <w:rPr>
          <w:rFonts w:ascii="Times New Roman" w:cs="Times New Roman" w:eastAsia="Times New Roman" w:hAnsi="Times New Roman"/>
          <w:sz w:val="20"/>
          <w:szCs w:val="20"/>
        </w:rPr>
        <w:t xml:space="preserve">Bkz. Gölcü ve Aksoy, "Avrupa Birliği ve Türkiye'de"; Ö. Uludağ, "Hayvan deneyi çalışmalarında etik kuralların tarihçesi ve önemi," </w:t>
      </w:r>
      <w:r>
        <w:rPr>
          <w:rFonts w:ascii="Times New Roman" w:cs="Times New Roman" w:eastAsia="Times New Roman" w:hAnsi="Times New Roman"/>
          <w:i/>
          <w:iCs/>
          <w:sz w:val="20"/>
          <w:szCs w:val="20"/>
        </w:rPr>
        <w:t xml:space="preserve">Adıyaman Üniversitesi Sağlık Bilimleri Dergisi</w:t>
      </w:r>
      <w:r>
        <w:rPr>
          <w:rFonts w:ascii="Times New Roman" w:cs="Times New Roman" w:eastAsia="Times New Roman" w:hAnsi="Times New Roman"/>
          <w:sz w:val="20"/>
          <w:szCs w:val="20"/>
        </w:rPr>
        <w:t xml:space="preserve"> 5, no. 1 (2019): 1401–13, https://doi.org/10.30569/adiyamansaglik.482098; Demirel ve Uluköy, "Hayvan refahı bakış açısı."</w:t>
      </w:r>
    </w:p>
  </w:footnote>
  <w:footnote w:id="92">
    <w:p>
      <w:pPr>
        <w:spacing w:line="240"/>
        <w:jc w:val="left"/>
      </w:pPr>
      <w:r>
        <w:rPr>
          <w:rStyle w:val="FootnoteReference"/>
        </w:rPr>
        <w:footnoteRef/>
      </w:r>
      <w:r>
        <w:rPr>
          <w:rFonts w:ascii="Times New Roman" w:cs="Times New Roman" w:eastAsia="Times New Roman" w:hAnsi="Times New Roman"/>
          <w:sz w:val="20"/>
          <w:szCs w:val="20"/>
        </w:rPr>
        <w:t xml:space="preserve">D. Akben, "Alman hukukunda ve Türk hukukunda hayvanların korunmasının karşılaştırılması," </w:t>
      </w:r>
      <w:r>
        <w:rPr>
          <w:rFonts w:ascii="Times New Roman" w:cs="Times New Roman" w:eastAsia="Times New Roman" w:hAnsi="Times New Roman"/>
          <w:i/>
          <w:iCs/>
          <w:sz w:val="20"/>
          <w:szCs w:val="20"/>
        </w:rPr>
        <w:t xml:space="preserve">Dokuz Eylül Üniversitesi Hukuk Fakültesi Dergisi</w:t>
      </w:r>
      <w:r>
        <w:rPr>
          <w:rFonts w:ascii="Times New Roman" w:cs="Times New Roman" w:eastAsia="Times New Roman" w:hAnsi="Times New Roman"/>
          <w:sz w:val="20"/>
          <w:szCs w:val="20"/>
        </w:rPr>
        <w:t xml:space="preserve"> 25, no. 2 (2023): 1047–1102, https://doi.org/10.33717/deuhfd.1375617.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Kâğıt Üzerinde Sadık, Uygulamada Gözlemlenemez</dc:title>
  <dc:creator>Anonymous</dc:creator>
  <cp:lastModifiedBy>Anonymous</cp:lastModifiedBy>
  <cp:revision>1</cp:revision>
  <dcterms:created xsi:type="dcterms:W3CDTF">2026-09-29T03:47:13.767Z</dcterms:created>
  <dcterms:modified xsi:type="dcterms:W3CDTF">2026-09-29T03:47:13.782Z</dcterms:modified>
</cp:coreProperties>
</file>

<file path=docProps/custom.xml><?xml version="1.0" encoding="utf-8"?>
<Properties xmlns="http://schemas.openxmlformats.org/officeDocument/2006/custom-properties" xmlns:vt="http://schemas.openxmlformats.org/officeDocument/2006/docPropsVTypes"/>
</file>