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D6" w:rsidRPr="007E483B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2E54D6" w:rsidRPr="007E483B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«ЛЬВІВСЬКА ПОЛІТЕХНІКА»</w:t>
      </w:r>
    </w:p>
    <w:p w:rsidR="002E54D6" w:rsidRPr="007E483B" w:rsidRDefault="00171E9F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НАВЧАЛЬНО-НАУКОВИЙ </w:t>
      </w:r>
      <w:r w:rsidR="002E54D6"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013A97" w:rsidRDefault="00013A97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013A97" w:rsidRDefault="00013A97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013A97" w:rsidRDefault="00013A97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013A97" w:rsidRPr="007E483B" w:rsidRDefault="00013A97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D6" w:rsidRPr="00013A97" w:rsidRDefault="002E54D6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44"/>
          <w:szCs w:val="28"/>
        </w:rPr>
      </w:pPr>
    </w:p>
    <w:p w:rsidR="00013A97" w:rsidRPr="00013A97" w:rsidRDefault="00013A97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44"/>
          <w:szCs w:val="28"/>
        </w:rPr>
      </w:pPr>
      <w:r w:rsidRPr="00013A97">
        <w:rPr>
          <w:rFonts w:ascii="Times New Roman CYR" w:hAnsi="Times New Roman CYR" w:cs="Times New Roman CYR"/>
          <w:b/>
          <w:bCs/>
          <w:color w:val="000000"/>
          <w:spacing w:val="3"/>
          <w:sz w:val="44"/>
          <w:szCs w:val="28"/>
        </w:rPr>
        <w:t xml:space="preserve">КОНТРОЛЬНА РОБОТА </w:t>
      </w:r>
    </w:p>
    <w:p w:rsidR="002E54D6" w:rsidRPr="00013A97" w:rsidRDefault="002E54D6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2E54D6">
        <w:rPr>
          <w:rFonts w:ascii="Times New Roman" w:hAnsi="Times New Roman"/>
          <w:sz w:val="32"/>
        </w:rPr>
        <w:t>з дисципліни</w:t>
      </w:r>
    </w:p>
    <w:p w:rsidR="002E54D6" w:rsidRDefault="002E54D6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57032E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«ІНТЕЛЕКТУАЛЬНА ВЛАСНІСТЬ»</w:t>
      </w:r>
    </w:p>
    <w:p w:rsidR="00013A97" w:rsidRPr="00171E9F" w:rsidRDefault="00013A97" w:rsidP="00013A97">
      <w:pPr>
        <w:jc w:val="center"/>
        <w:rPr>
          <w:rFonts w:ascii="Times New Roman" w:hAnsi="Times New Roman"/>
          <w:sz w:val="32"/>
          <w:lang w:val="ru-RU"/>
        </w:rPr>
      </w:pPr>
      <w:r w:rsidRPr="00013A97">
        <w:rPr>
          <w:rFonts w:ascii="Times New Roman" w:hAnsi="Times New Roman"/>
          <w:sz w:val="32"/>
        </w:rPr>
        <w:t>варіант №</w:t>
      </w:r>
      <w:r w:rsidR="0057032E" w:rsidRPr="00171E9F">
        <w:rPr>
          <w:rFonts w:ascii="Times New Roman" w:hAnsi="Times New Roman"/>
          <w:sz w:val="32"/>
          <w:lang w:val="ru-RU"/>
        </w:rPr>
        <w:t>5</w:t>
      </w:r>
    </w:p>
    <w:p w:rsidR="00013A97" w:rsidRPr="00013A97" w:rsidRDefault="00013A97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013A9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2E54D6" w:rsidRDefault="0057032E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r w:rsidR="002E54D6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Т.А</w:t>
      </w:r>
      <w:r w:rsidR="002E54D6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2E54D6" w:rsidRPr="000B36A2" w:rsidRDefault="0057032E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ПЗС-</w:t>
      </w:r>
      <w:r w:rsidR="002E54D6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11</w:t>
      </w: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2E54D6" w:rsidRPr="00C854B4" w:rsidRDefault="00171E9F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КЕРІВНИК</w:t>
      </w:r>
      <w:r w:rsidR="002E54D6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2E54D6" w:rsidRDefault="002E54D6" w:rsidP="002E54D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 w:rsidRPr="002E54D6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к.е.н. Самуляк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В.Ю.</w:t>
      </w:r>
    </w:p>
    <w:p w:rsidR="002E54D6" w:rsidRDefault="002E54D6" w:rsidP="002E54D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2E54D6" w:rsidRDefault="002E54D6" w:rsidP="002E54D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0E47B0" w:rsidRPr="007E483B" w:rsidRDefault="000E47B0" w:rsidP="002E54D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0E47B0" w:rsidRDefault="0057032E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– 2014</w:t>
      </w:r>
    </w:p>
    <w:p w:rsidR="00F01169" w:rsidRDefault="00F01169" w:rsidP="00F01169">
      <w:pPr>
        <w:ind w:left="1276" w:hanging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ЗМІСТ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F01169">
        <w:rPr>
          <w:rFonts w:ascii="Times New Roman" w:hAnsi="Times New Roman" w:cs="Times New Roman"/>
          <w:sz w:val="24"/>
          <w:szCs w:val="24"/>
        </w:rPr>
        <w:t>1. ТЕОРЕТИЧНІ ПИТАННЯ</w:t>
      </w:r>
      <w:r>
        <w:rPr>
          <w:rFonts w:ascii="Times New Roman" w:hAnsi="Times New Roman" w:cs="Times New Roman"/>
          <w:sz w:val="24"/>
          <w:szCs w:val="24"/>
        </w:rPr>
        <w:t>……………………………...………………………………………  3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Pr="00F01169">
        <w:rPr>
          <w:rFonts w:ascii="Times New Roman" w:hAnsi="Times New Roman" w:cs="Times New Roman"/>
          <w:sz w:val="24"/>
          <w:szCs w:val="24"/>
        </w:rPr>
        <w:t xml:space="preserve"> Нетрадиційні об’єкти інтелектуальної власності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…………………………………………... 3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Pr="00F01169">
        <w:rPr>
          <w:rFonts w:ascii="Times New Roman" w:hAnsi="Times New Roman" w:cs="Times New Roman"/>
          <w:sz w:val="24"/>
          <w:szCs w:val="24"/>
        </w:rPr>
        <w:t>Постановка об’єктів інтелектуальної власності на бухгалтерський облік</w:t>
      </w:r>
      <w:r>
        <w:rPr>
          <w:rFonts w:ascii="Times New Roman" w:hAnsi="Times New Roman" w:cs="Times New Roman"/>
          <w:sz w:val="24"/>
          <w:szCs w:val="24"/>
        </w:rPr>
        <w:t>………………..  9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01169">
        <w:rPr>
          <w:rFonts w:ascii="Times New Roman" w:hAnsi="Times New Roman" w:cs="Times New Roman"/>
          <w:sz w:val="24"/>
          <w:szCs w:val="24"/>
        </w:rPr>
        <w:t>ТЕСТОВІ ЗАВДАННЯ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 1</w:t>
      </w:r>
      <w:r w:rsidR="001730A7">
        <w:rPr>
          <w:rFonts w:ascii="Times New Roman" w:hAnsi="Times New Roman" w:cs="Times New Roman"/>
          <w:sz w:val="24"/>
          <w:szCs w:val="24"/>
        </w:rPr>
        <w:t>2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01169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1730A7"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1730A7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F01169" w:rsidRPr="00F01169" w:rsidRDefault="001730A7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ВИСНОВКИ………………………………………………………….…………………………… 14</w:t>
      </w:r>
    </w:p>
    <w:p w:rsidR="00F01169" w:rsidRPr="00F01169" w:rsidRDefault="00F01169" w:rsidP="00F01169">
      <w:pPr>
        <w:ind w:left="1276" w:hanging="1276"/>
        <w:jc w:val="both"/>
        <w:rPr>
          <w:rFonts w:ascii="Times New Roman" w:hAnsi="Times New Roman" w:cs="Times New Roman"/>
          <w:sz w:val="24"/>
          <w:szCs w:val="24"/>
        </w:rPr>
      </w:pPr>
      <w:r w:rsidRPr="00F01169">
        <w:rPr>
          <w:rFonts w:ascii="Times New Roman" w:hAnsi="Times New Roman" w:cs="Times New Roman"/>
          <w:sz w:val="24"/>
          <w:szCs w:val="24"/>
        </w:rPr>
        <w:t>Сп</w:t>
      </w:r>
      <w:r w:rsidR="001730A7">
        <w:rPr>
          <w:rFonts w:ascii="Times New Roman" w:hAnsi="Times New Roman" w:cs="Times New Roman"/>
          <w:sz w:val="24"/>
          <w:szCs w:val="24"/>
        </w:rPr>
        <w:t>исок використаної літератури………………………………………………………………… 15</w:t>
      </w: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F01169" w:rsidRDefault="00F01169" w:rsidP="000E47B0">
      <w:pPr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3A0DDC" w:rsidRPr="0057032E" w:rsidRDefault="003A0DDC" w:rsidP="003A0DDC">
      <w:pPr>
        <w:ind w:left="851" w:hanging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DC048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</w:rPr>
        <w:lastRenderedPageBreak/>
        <w:t>Мета:</w:t>
      </w:r>
      <w:r w:rsidRPr="00DC048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З</w:t>
      </w:r>
      <w:r w:rsidRPr="00DC048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асвоєння в повному обсязі навчальної програми шляхом свідомого закріплення, поглиблення і систематизації набутих теоретичних знань, а також опанування навичок роботи з навчальною і науково-методичною літературою, вміння вільно орієнтуватися в інформаційному просторі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3A0DDC" w:rsidRPr="0057032E" w:rsidRDefault="003A0DDC" w:rsidP="003A0DDC">
      <w:pPr>
        <w:ind w:left="851" w:hanging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BA4712" w:rsidRDefault="00F01169" w:rsidP="00BA47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A4712" w:rsidRPr="00BA4712">
        <w:rPr>
          <w:rFonts w:ascii="Times New Roman" w:hAnsi="Times New Roman" w:cs="Times New Roman"/>
          <w:b/>
          <w:sz w:val="24"/>
          <w:szCs w:val="24"/>
        </w:rPr>
        <w:t>ТЕОРЕТИЧНІ ПИТАННЯ</w:t>
      </w:r>
    </w:p>
    <w:p w:rsidR="00BA4712" w:rsidRPr="00F01169" w:rsidRDefault="00F01169" w:rsidP="00F01169">
      <w:pPr>
        <w:pStyle w:val="ab"/>
        <w:numPr>
          <w:ilvl w:val="1"/>
          <w:numId w:val="39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B1B42" w:rsidRPr="00F01169">
        <w:rPr>
          <w:rFonts w:ascii="Times New Roman" w:hAnsi="Times New Roman" w:cs="Times New Roman"/>
          <w:b/>
          <w:i/>
          <w:sz w:val="24"/>
          <w:szCs w:val="24"/>
        </w:rPr>
        <w:t>Нетрадиційні об’єкти інтелектуальної власності</w:t>
      </w:r>
    </w:p>
    <w:p w:rsidR="00A67DE7" w:rsidRPr="00A67DE7" w:rsidRDefault="00A67DE7" w:rsidP="00A67DE7">
      <w:pPr>
        <w:spacing w:after="0" w:line="240" w:lineRule="auto"/>
        <w:ind w:firstLine="62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нетрадиційних результатів інтелектуальної діяльності, як прави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ло, відносять наукові відкриття:</w:t>
      </w:r>
    </w:p>
    <w:p w:rsidR="00A67DE7" w:rsidRPr="00A67DE7" w:rsidRDefault="00A67DE7" w:rsidP="00A67DE7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компонування інтегральних мікросхем, раціоналізаторські пропозиці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ї, сорти рослин і породи тварин;</w:t>
      </w:r>
    </w:p>
    <w:p w:rsidR="00A67DE7" w:rsidRPr="00A67DE7" w:rsidRDefault="00A67DE7" w:rsidP="00A67DE7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комерційну таємницю.</w:t>
      </w:r>
    </w:p>
    <w:p w:rsidR="00A67DE7" w:rsidRPr="00A67DE7" w:rsidRDefault="00A67DE7" w:rsidP="00A67DE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457 ЦК «</w:t>
      </w:r>
      <w:r w:rsidRPr="00056F1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науковим відкриттям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встановлення невідомих раніше, але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об'єктивно існуючих закономірностей, властивостей та явищ матеріального світу, які вносять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докорінні зміни в рівень наукового пізнання».</w:t>
      </w:r>
    </w:p>
    <w:p w:rsidR="00A67DE7" w:rsidRPr="00A67DE7" w:rsidRDefault="00A67DE7" w:rsidP="00A67DE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Поняття «відкриття» та «винаходи» чітко розмежовують. Якщо винахід - технічне розв'язання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завдання, у результаті якого створюють нові прилади, способи, речовини, то відкриття виявляє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раніше невідомі явища, властивості й закономірності тих чи інших об'єктів матеріального світу.</w:t>
      </w:r>
    </w:p>
    <w:p w:rsidR="00A67DE7" w:rsidRPr="00A67DE7" w:rsidRDefault="00A67DE7" w:rsidP="00A67DE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6F1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Відкриття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результат наукового дослідження, основними ознаками якого є:</w:t>
      </w:r>
    </w:p>
    <w:p w:rsidR="00A67DE7" w:rsidRPr="00A67DE7" w:rsidRDefault="00A67DE7" w:rsidP="00A67DE7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світова новизна;</w:t>
      </w:r>
    </w:p>
    <w:p w:rsidR="00A67DE7" w:rsidRPr="00A67DE7" w:rsidRDefault="00A67DE7" w:rsidP="00A67DE7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достовірність (доведеність)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67DE7" w:rsidRPr="00A67DE7" w:rsidRDefault="00A67DE7" w:rsidP="00A67DE7">
      <w:pPr>
        <w:pStyle w:val="ab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фундаментальність (докорінні зміни в рівні пізнання).</w:t>
      </w:r>
    </w:p>
    <w:p w:rsidR="00056F14" w:rsidRDefault="00A67DE7" w:rsidP="00A67DE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Відкриттям визнають не будь-яке розв'язання наукового завдання, а таке, що вносить докорінні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зміни в рівень пізнання.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Основною ознакою наукового відкриття є його новизна. Новизною визнають абсолютну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світову новизну наукового положення, заявленого як відкриття.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Новизну відкриття встановлюють на дату пріоритету.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Пріоритет наукового відкриття визначають за датою, коли вперше було сформульовано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положення, заявлене як відкриття, за датою опублікування зазначеного положення в пресі або за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датою доведення його іншим шляхом до відома інших осіб.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Якщо заявка на видачу диплома на відкриття не містить даних, які офіційно підтверджують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дату встановлення пріоритету в зазначеному порядку, пріоритет відкриття встановлюють за датою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подання заявки.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Практично для закріплення пріоритету використовують найрізноманітніші дати: публікації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статті, подання статті до редакції, доповіді на семінарі, захисту дипломної роботи тощо.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Закон вимагає, щоб наукове положення, яке реєструють як відкриття, відповідало дійсності.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Існування закономірності, властивості або явища матеріального світу має бути не просто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констатоване автором, а й доведене ним теоретично або експериментально.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Без цього відкриття не існує, є лише гіпотеза (тобто передбачення, зроблене для пояснення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зв'язку явищ матеріального світу), яку законодавство не охороняє.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Відкриття як результат вирішення завдання пізнання від моменту його оприлюднення стає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загальним надбанням, його може вільно використовувати кожен як при проведенні подальших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наукових досліджень, так і при розробленні на його основі конкретних технічних рішень.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56F14" w:rsidRDefault="00A67DE7" w:rsidP="00056F1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Суб'єктами права на відкриття є перш за все їхні автори, тобто особи, завдяки творчій праці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яких створено відкриття. За українським законодавством авторами відкриттів можуть бути лише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фізичні особи незалежно від їхнього віку та стану дієздатності.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Після смерті автора його права на відкриття переходять до його спадкоємців за законом або за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заповітом. Спадкоємці стають повноцінними власниками всіх майнових прав, належних померлому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автору відкриття. Вони можуть захищати особисті немайнові права авторів відкриттів. За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співавторства відкриття здійснюється в результаті творчої діяльності кількох осіб.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Співавторами визнають вчених, один із яких виявив невідоме раніше явище, а інший дав йому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наукове обґрунтування. Аналогічно вирішують питання, коли одні особи сформулювали та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теоретично довели предмет відкриття, а інші одержали експериментальне підтвердження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достовірності відкриття.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Якщо відкриття здійснено у зв'язку з виконанням службового завдання, всі авторські права на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нього визнають за його конкретним розробником.</w:t>
      </w:r>
      <w:r w:rsidR="0005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67DE7" w:rsidRDefault="00A67DE7" w:rsidP="00056F1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7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цей час ще не розроблені закони України щодо правової охорони наукового відкриття.</w:t>
      </w:r>
    </w:p>
    <w:p w:rsidR="009A499C" w:rsidRPr="009A499C" w:rsidRDefault="009A499C" w:rsidP="009A49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Відповідно до ст. 481 ЦК </w:t>
      </w:r>
      <w:r w:rsidRPr="009A49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раціоналізаторською пропозицією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визнана юридичною особою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пропозиція, яка містить технологічне (технічне) або організаційне рішення в будь-якій сфері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діяльності.</w:t>
      </w:r>
    </w:p>
    <w:p w:rsidR="009A499C" w:rsidRPr="009A499C" w:rsidRDefault="009A499C" w:rsidP="009A499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Об'єктом раціоналізаторської пропозиції може бути 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матеріальний об'єкт або процес.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визнання пропозиції раціоналізаторською вона має відповідати таким критеріям:</w:t>
      </w:r>
    </w:p>
    <w:p w:rsidR="009A499C" w:rsidRPr="009A499C" w:rsidRDefault="009A499C" w:rsidP="009A499C">
      <w:pPr>
        <w:pStyle w:val="ab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бути технічним або організаційним рішенням;</w:t>
      </w:r>
    </w:p>
    <w:p w:rsidR="009A499C" w:rsidRPr="009A499C" w:rsidRDefault="009A499C" w:rsidP="009A499C">
      <w:pPr>
        <w:pStyle w:val="ab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мати місцеву новизну, тобто бути невідомою на підприємстві;</w:t>
      </w:r>
    </w:p>
    <w:p w:rsidR="009A499C" w:rsidRPr="00D80993" w:rsidRDefault="009A499C" w:rsidP="00D80993">
      <w:pPr>
        <w:pStyle w:val="ab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бути корисною.</w:t>
      </w:r>
    </w:p>
    <w:p w:rsidR="009A499C" w:rsidRPr="009A499C" w:rsidRDefault="009A499C" w:rsidP="001F53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Суб'єктами права на раціоналізаторську пропозицію є її автор та юридична або фізична особа,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якій ця пропозиція подана.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Автором визнають особу, завдяки творчій праці якої створено пропозицію. Авторами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раціоналізаторських пропозицій можуть бути тільки фізичні особи.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визнання фізичних осіб авторами рацпропозицій не впливають їхні вік і стан дієздатності. За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авторів, які не досягли 14 років або визнані у встановленому законом порядку недієздатними, права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здій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снюють їхні батьки або опікуни.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Якщо у створенні раціоналізаторської пропозиції брало творчу участь кілька осіб, виникає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співавторство. Не можуть претендувати на співавторство особи, які надали автору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раціоналізаторської пропозиції тільки технічну допомогу, наприклад, у виготовленні креслень і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зразків, виконанні розрахунків, оформленні документів або проведенні дослідної перевірки рішення.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Після смерті автора раціоналізаторської пропозиції його права, щодо яких допускають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правонаступність, переходять до його спадкоємців за законом або заповітом. Строк дії прав</w:t>
      </w:r>
      <w:r w:rsidR="00D8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спадкоємців конкретним періодом часу не обмежений.</w:t>
      </w:r>
      <w:r w:rsid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Відповідно до ст. 484 ЦК:           </w:t>
      </w:r>
    </w:p>
    <w:p w:rsidR="009A499C" w:rsidRPr="001F53FA" w:rsidRDefault="009A499C" w:rsidP="009A499C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 раціоналізаторської пропозиції має право на добросові</w:t>
      </w:r>
      <w:r w:rsidR="001F53FA" w:rsidRP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сне заохочення від юридичної</w:t>
      </w:r>
      <w:r w:rsid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особи, якій цю пропозицію подано;</w:t>
      </w:r>
    </w:p>
    <w:p w:rsidR="009A499C" w:rsidRPr="001F53FA" w:rsidRDefault="009A499C" w:rsidP="009A499C">
      <w:pPr>
        <w:pStyle w:val="ab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юридична особа, яка визнала пропозицію раціоналізаторською, має право на її використання в</w:t>
      </w:r>
      <w:r w:rsid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будь-якому обсязі.</w:t>
      </w:r>
    </w:p>
    <w:p w:rsidR="009A499C" w:rsidRPr="009A499C" w:rsidRDefault="009A499C" w:rsidP="009A499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Автори раціоналізаторських пропозицій мають особисті немайнові та майнові права, які</w:t>
      </w:r>
    </w:p>
    <w:p w:rsidR="002F389E" w:rsidRDefault="009A499C" w:rsidP="001F53F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9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забезпечують суспільне визнання їхніх заслуг і задоволення майнових інтересів.</w:t>
      </w:r>
      <w:r w:rsidR="001F5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F389E" w:rsidRPr="002F3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Охорона, яка надається інтелектуальній власності законами України, сприяє збільшенню кількості винаходів і раціоналізаторських пропозицій, росту інвестицій, розвитку науково-дослідної діяльності, що приводить до технічного прогресу, поліпшення якості промислової продукції, підвищення культурного рівня громадян.</w:t>
      </w:r>
    </w:p>
    <w:p w:rsidR="00200EC2" w:rsidRDefault="00200EC2" w:rsidP="00200EC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200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Інтегральна мікросхема (ІМС)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це мікроелектронний виріб кінцевої або проміжної форми,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призначений для виконання функцій електронної схеми, елементи і з'єднання якого неподільно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сформовані в об'ємі та (або) на поверхні матеріалу, що становить основу такого виробу, незалежно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від способу його виготовлення.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Існують різні варіанти класифікації ІМС: за видом оброблюваної інформації - цифрові 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аналогові, за ступенем інтеграції елементів - мал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і, середні, великі та надвеликі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:rsidR="00200EC2" w:rsidRPr="00200EC2" w:rsidRDefault="00200EC2" w:rsidP="00200EC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Компонування ІМС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це зафіксоване на матеріальному носії просторово-геометричне</w:t>
      </w:r>
    </w:p>
    <w:p w:rsidR="007743E2" w:rsidRDefault="00200EC2" w:rsidP="00200EC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розміщення сукупності елементів ІМС та з'єднань між ними. Таке просторово-геометричне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розташування утворюється в результаті послідовного нанесення численних шарів.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Основною і єдиною юридично значущою ознакою, необхідною для надання компонуванню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ової охорони, є оригінальність.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Компонування ІМС визнають оригінальним, якщо воно не створене шляхом прямого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відтворення (копіювання) іншого компонування ІМС, має відмінності, що надають йому нові</w:t>
      </w:r>
      <w:r w:rsidR="001A6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властивості, і не було відоме в галузі мікроелектроніки до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дати подання заявки до установи або до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дати його першого використання.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Компонування, що містить елементи, відомі в галузі мікроелектроніки на дату подання заяви до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установи або на дату першого використання компонування ІМС, може бути визнане оригінальним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тільки в тому разі, якщо сукупність таких елементів загалом надає компонуванню оригінальності.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визнання компонування ІМС оригінальним не впливає розкриття інформації про нього</w:t>
      </w:r>
      <w:r w:rsidR="00EB14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автором або особою, яка одержала від автора прямо чи непрямо таку інформацію, якщо строк від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дати розкриття інформації до дати подання до установи заявки на реєстрацію цього компонування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ІМС не перевищує 2 років. При цьому обов'язок доведення обставин розкриття інформації,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достовірності дати її розкриття та першого використання компонування ІМС покладають на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зацікавлену осо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бу.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може бути визнане оригінальним те компонування ІМС, заявка на реєстрацію якого подана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установи пізніше, ніж за 2 роки від дати її першого використання. За загальним правилом оригінальним є будь-яке компонування, створене в результаті творчої</w:t>
      </w:r>
      <w:r w:rsidR="007041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діяльності автора. При цьому компонування визнають оригінальним, поки не доведено інше.</w:t>
      </w:r>
      <w:r w:rsidR="007743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00EC2" w:rsidRPr="00200EC2" w:rsidRDefault="00200EC2" w:rsidP="0040590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Суб'єктами права на компонування ІМС є автори, їхні спадкоємці, а також будь-які фізичні або</w:t>
      </w:r>
      <w:r w:rsidR="007743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юридичні особи, які мають виключні майнові права, одержані відповідно до закону або договору.</w:t>
      </w:r>
      <w:r w:rsidR="00405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Відповідно до ст. 473 ЦК суб'єктами права інтелектуальної власності на компонування ІМС є:</w:t>
      </w:r>
    </w:p>
    <w:p w:rsidR="00200EC2" w:rsidRPr="00405902" w:rsidRDefault="00200EC2" w:rsidP="00405902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5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 компонування ІМС;</w:t>
      </w:r>
    </w:p>
    <w:p w:rsidR="00200EC2" w:rsidRPr="00405902" w:rsidRDefault="00200EC2" w:rsidP="00405902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5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особи, які набули права на компонування ІМС за законом або договором.</w:t>
      </w:r>
    </w:p>
    <w:p w:rsidR="00200EC2" w:rsidRPr="00200EC2" w:rsidRDefault="00200EC2" w:rsidP="00200EC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Автором компонування визнають фізичну особу, завдяки творчій праці якої воно створене. На</w:t>
      </w:r>
      <w:r w:rsidR="00405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визнання фізичної особи автором компонування ІМС не впливає ні її вік, ні стан дієздатності.</w:t>
      </w:r>
      <w:r w:rsidR="00405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Юридична особа права авторства на компонування за жодних обставин не набуває і може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виступати тільки власником прав на його використання.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Якщо компонування створене спільно кількома фізичними особами, кожну з цих осіб визнають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автором такого компонування. Неодмінною умовою виникнення співавторства на компонування є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внесення розробником особистого творчого внеску в його створення.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Особи, які надали автору лише технічну, організаційну або матеріальну допомогу чи сприяли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оформленню права на використання компонування, на співавторство претендувати не можуть.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разі, якщо компонування ІМС створене в порядку виконання службових обов'язків або за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завданням роботодавця (замовника), суб'єктом права на компонування стає роботодавець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(замовник), якщо договір між автором і роботодавцем (замовником) не передбачає інше.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Після смерті автора суб'єктом прав на компонування стають його спадкоємці, до яких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переходять тільки майнові права. Особисті немайнові права творця топології у спадщину не</w:t>
      </w:r>
      <w:r w:rsidR="00C42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передають, проте спадкоємці можуть виступати на їхній захист у разі порушення останніх будь-якими особами.</w:t>
      </w:r>
    </w:p>
    <w:p w:rsidR="00200EC2" w:rsidRPr="00200EC2" w:rsidRDefault="00200EC2" w:rsidP="00C42A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особистих немайнових прав авторів та інших правовласників належать:</w:t>
      </w:r>
    </w:p>
    <w:p w:rsidR="00200EC2" w:rsidRPr="002B4197" w:rsidRDefault="00200EC2" w:rsidP="00200EC2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авторства. Його надають безпосередньо творцю оригінального компонування. Це</w:t>
      </w:r>
      <w:r w:rsidR="00C42A41"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має виключний і абсолютний характер і невіддільне від особи автора. Право авторства діє</w:t>
      </w:r>
      <w:r w:rsid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протягом усього життя творця компонування;</w:t>
      </w:r>
    </w:p>
    <w:p w:rsidR="00973639" w:rsidRDefault="00200EC2" w:rsidP="00200EC2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авторське ім'я. Ім'я дійсного творця компонування відповідно до ст. 9 Закону</w:t>
      </w:r>
      <w:r w:rsidR="002B4197"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України «Про охорону прав на топографію інтегральних мікросхем» має бути зазначене в заявці на</w:t>
      </w:r>
      <w:r w:rsidR="002B4197"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реєстрацію компонування, якщо тільки він не відмовився бути згаданим як такий. Право на ім'я не</w:t>
      </w:r>
      <w:r w:rsid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41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можна відчужувати, воно має абсолютний характер і його охороняють безстроково;</w:t>
      </w:r>
    </w:p>
    <w:p w:rsidR="00973639" w:rsidRDefault="00200EC2" w:rsidP="00200EC2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реєстрацію компонування в установі. Це право належить не тільки автору, а й іншим</w:t>
      </w:r>
      <w:r w:rsid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правовласникам;</w:t>
      </w:r>
    </w:p>
    <w:p w:rsidR="00200EC2" w:rsidRPr="00973639" w:rsidRDefault="00200EC2" w:rsidP="00200EC2">
      <w:pPr>
        <w:pStyle w:val="ab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застосування попереджувального маркування. Зазначене право належить як авторам,</w:t>
      </w:r>
      <w:r w:rsid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36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і іншим правовласникам.</w:t>
      </w:r>
    </w:p>
    <w:p w:rsidR="00200EC2" w:rsidRPr="00200EC2" w:rsidRDefault="00200EC2" w:rsidP="00E90252">
      <w:pPr>
        <w:spacing w:after="0" w:line="24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7 Закону України «Про охорону прав на топографію інтегральних мікросхем»</w:t>
      </w:r>
      <w:r w:rsidR="00024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 або його правонаступник має право сповіщати про реєстрацію компонування ІМС шляхом</w:t>
      </w:r>
      <w:r w:rsidR="00024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позначення компонування або виробів, що мають таке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компонування, літерою «Т» із зазначенням</w:t>
      </w:r>
      <w:r w:rsidR="00E90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дати початку дії виключного права на використання компонування ІМС та інформації, яка дозволяє</w:t>
      </w:r>
      <w:r w:rsidR="00024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ідентифікувати власника прав.</w:t>
      </w:r>
    </w:p>
    <w:p w:rsidR="00200EC2" w:rsidRPr="00200EC2" w:rsidRDefault="00200EC2" w:rsidP="00E90252">
      <w:pPr>
        <w:spacing w:after="0" w:line="24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474 ЦК майновими правами на компонування ІМС є:</w:t>
      </w:r>
    </w:p>
    <w:p w:rsidR="00E90252" w:rsidRDefault="00200EC2" w:rsidP="00200EC2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0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використання компонування ІМС;</w:t>
      </w:r>
    </w:p>
    <w:p w:rsidR="00E90252" w:rsidRDefault="00200EC2" w:rsidP="00200EC2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0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дозволяти використання компонування ІМС;</w:t>
      </w:r>
    </w:p>
    <w:p w:rsidR="00D40D0A" w:rsidRDefault="00200EC2" w:rsidP="00200EC2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перешкоджати неправомірному використанню ІМС, у тому числі забороняти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таке використання;</w:t>
      </w:r>
    </w:p>
    <w:p w:rsidR="00200EC2" w:rsidRPr="00D40D0A" w:rsidRDefault="00200EC2" w:rsidP="00200EC2">
      <w:pPr>
        <w:pStyle w:val="ab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майнові права інтелектуальної власності, передбачені законом.</w:t>
      </w:r>
    </w:p>
    <w:p w:rsidR="00200EC2" w:rsidRPr="00200EC2" w:rsidRDefault="00200EC2" w:rsidP="00D40D0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Згідно зі ст. 16 Закону України «Про охорону прав на топографії інтегральних мікросхем» під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використанням компонування ІМС слід розуміти:</w:t>
      </w:r>
    </w:p>
    <w:p w:rsidR="00D40D0A" w:rsidRDefault="00200EC2" w:rsidP="00200EC2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копіювання компонування ІМС;</w:t>
      </w:r>
    </w:p>
    <w:p w:rsidR="00D40D0A" w:rsidRDefault="00200EC2" w:rsidP="00200EC2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виготовлення ІМС із застосуванням компонування;</w:t>
      </w:r>
    </w:p>
    <w:p w:rsidR="00D40D0A" w:rsidRDefault="00200EC2" w:rsidP="00200EC2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виготовлення будь-яких виробів, що містять ІМС;</w:t>
      </w:r>
    </w:p>
    <w:p w:rsidR="00D40D0A" w:rsidRDefault="00200EC2" w:rsidP="00200EC2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ввезення таких ІМС та виробів, що їх містять, на митну територію України;</w:t>
      </w:r>
    </w:p>
    <w:p w:rsidR="00200EC2" w:rsidRPr="00D40D0A" w:rsidRDefault="00200EC2" w:rsidP="00200EC2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пропонування для продажу, у тому числі через Інтернет, продаж та інше введення в цивільний</w:t>
      </w:r>
      <w:r w:rsidR="00D40D0A"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оборот або зберігання в зазначених цілях ІМС, виготовлених із застосуванням компонування ІМС, та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будь-яких виробів, що містять ІМС.</w:t>
      </w:r>
    </w:p>
    <w:p w:rsidR="001F53FA" w:rsidRDefault="00200EC2" w:rsidP="007435B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на використання компонування має строковий характер. Відповідно до ст. 475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ЦК строк чинності виключних майнових прав на компонування ІМС вичерпується через 10 років, що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відліковують від дати подання заявки на компонування ІМС в установленому законом порядку</w:t>
      </w:r>
      <w:r w:rsidR="00D40D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Якщо право на використання компонування належить роботодавцю, автор (а в разі його смерті -</w:t>
      </w:r>
      <w:r w:rsidR="00975E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спадкоємець) має право на одержання винагороди. Закон не містить будь-яких вказівок щодо</w:t>
      </w:r>
      <w:r w:rsidR="007435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мінімального або максимального розміру винагороди. Всі питання, пов'язані з порядком виплати та</w:t>
      </w:r>
      <w:r w:rsidR="007435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розміром винагороди, вирішує договір між автором і роботодавцем.</w:t>
      </w:r>
    </w:p>
    <w:p w:rsidR="005F6D1D" w:rsidRPr="005F6D1D" w:rsidRDefault="005F6D1D" w:rsidP="005F6D1D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 </w:t>
      </w:r>
      <w:r w:rsidRPr="005F6D1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ознак охороноздатності сорту рослин, породи тварин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відносять вирішення завдання</w:t>
      </w:r>
    </w:p>
    <w:p w:rsidR="005F6D1D" w:rsidRPr="005F6D1D" w:rsidRDefault="005F6D1D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виведення нового сорту рослини або породи тварини, новизну селекційного досягнення, його</w:t>
      </w:r>
    </w:p>
    <w:p w:rsidR="005F6D1D" w:rsidRPr="005F6D1D" w:rsidRDefault="005F6D1D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вирізняльність, однорідність і стабільність. Результатом діяльності селекціонера має бути вирішення конкретного практичного завдання,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 полягає у виведенні нового сорту рослини або породи тварини. Необхідно провести до кінця весь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селекційний процес, щоб реально вивести новий сорт (породу) і перевірити його на відповідність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передбаченим законом вимогам. Завдання з виведення нових сортів і порід вирішують засобами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біології.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1 Закону України «Про охорону прав на сорти рослин» сорт - це окрема група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рослин (клон, лінія, гібрид першого покоління, популяція), що незалежно від того, чи відповідає вона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повністю умовам надання правової охорони, може:</w:t>
      </w:r>
    </w:p>
    <w:p w:rsidR="005F6D1D" w:rsidRPr="005F6D1D" w:rsidRDefault="005F6D1D" w:rsidP="005F6D1D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бути визначена за ступенем прояву ознак, що є результатом діяльності певного генотипу або</w:t>
      </w:r>
    </w:p>
    <w:p w:rsidR="005F6D1D" w:rsidRPr="005F6D1D" w:rsidRDefault="005F6D1D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комбінації генотипів;</w:t>
      </w:r>
    </w:p>
    <w:p w:rsidR="005F6D1D" w:rsidRPr="005F6D1D" w:rsidRDefault="005F6D1D" w:rsidP="005F6D1D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бути відрізнена від будь-якої іншої групи рослин за ступенем прояву принаймні однієї з цих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ознак;</w:t>
      </w:r>
    </w:p>
    <w:p w:rsidR="005F6D1D" w:rsidRPr="005F6D1D" w:rsidRDefault="005F6D1D" w:rsidP="005F6D1D">
      <w:pPr>
        <w:pStyle w:val="ab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розглядатися як одне ціле з погляду її придатності для відтворення в незмінному вигляді цілих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рослин сорту.</w:t>
      </w:r>
    </w:p>
    <w:p w:rsidR="005F6D1D" w:rsidRPr="005F6D1D" w:rsidRDefault="005F6D1D" w:rsidP="005F6D1D">
      <w:pPr>
        <w:spacing w:after="0" w:line="24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Суб'єктами прав на сорт рослин, породу тварин є їхні безпосередні творці (автори), власники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виключних прав на їхнє використання (патентовласники), спадкоємці та правонаступники.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Згідно з чинним українським законодавством авторами сорту рослин, породи тварин можуть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бути тільки фізичні особи, завдяки творчій праці яких виведено, створено або виявлено сорт рослин,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породу 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варин.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Сорт рослин, породу тварин переважно створюють кілька авторів, а іноді й цілий колектив. Усіх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цих осіб визнаватимуть співавторами. Тільки осіб, які зробили творчий внесок у створення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відповідного об'єкта, можна визнати співавторами. При цьому ступінь участі таких осіб у створенні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об'єкта не враховують, тобто не можна ділити співавторів на різні категорії.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Якщо сорт рослин, породу тварин створено в порядку виконання службових обов'язків або за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завданням роботодавця,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суб'єктом права на сорт рослин, породу тварин стає роботодавець, якщо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договір між ним і автором не передбачає інше.</w:t>
      </w:r>
    </w:p>
    <w:p w:rsidR="005F6D1D" w:rsidRPr="005F6D1D" w:rsidRDefault="005F6D1D" w:rsidP="00FE4E49">
      <w:pPr>
        <w:spacing w:after="0" w:line="240" w:lineRule="auto"/>
        <w:ind w:firstLine="41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485 ЦК право інтелектуальної власності на сорт рослин, породу тварин</w:t>
      </w:r>
    </w:p>
    <w:p w:rsidR="005F6D1D" w:rsidRPr="005F6D1D" w:rsidRDefault="005F6D1D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становить:</w:t>
      </w:r>
    </w:p>
    <w:p w:rsidR="00FE4E49" w:rsidRDefault="005F6D1D" w:rsidP="005F6D1D">
      <w:pPr>
        <w:pStyle w:val="ab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особисті немайнові права інтелектуальної власності на сорт рослин, породу тварин, засвідчені</w:t>
      </w:r>
      <w:r w:rsid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державною реєстрацією;</w:t>
      </w:r>
    </w:p>
    <w:p w:rsidR="00FE4E49" w:rsidRDefault="005F6D1D" w:rsidP="005F6D1D">
      <w:pPr>
        <w:pStyle w:val="ab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майнові права інтелектуальної власності на сорт рослин, породу тварин, засвідчені патентом;</w:t>
      </w:r>
    </w:p>
    <w:p w:rsidR="005F6D1D" w:rsidRPr="00FE4E49" w:rsidRDefault="005F6D1D" w:rsidP="005F6D1D">
      <w:pPr>
        <w:pStyle w:val="ab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майнове право інтелектуальної власності на поширення сорту рослин, породи тварин,</w:t>
      </w:r>
    </w:p>
    <w:p w:rsidR="005F6D1D" w:rsidRPr="005F6D1D" w:rsidRDefault="005F6D1D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засвідчене державною реєстрацією.</w:t>
      </w:r>
    </w:p>
    <w:p w:rsidR="005F6D1D" w:rsidRPr="005F6D1D" w:rsidRDefault="00FE4E49" w:rsidP="005F6D1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5F6D1D"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487 ЦК майновими правами на сорт рослин, породу тварин, засвідченими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6D1D" w:rsidRPr="005F6D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патентом, є:</w:t>
      </w:r>
    </w:p>
    <w:p w:rsidR="005F6D1D" w:rsidRPr="00FE4E49" w:rsidRDefault="005F6D1D" w:rsidP="00FE4E49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використання сорту рослин, породи тварин, придатних для поширення в Україні;</w:t>
      </w:r>
    </w:p>
    <w:p w:rsidR="005F6D1D" w:rsidRPr="00FE4E49" w:rsidRDefault="005F6D1D" w:rsidP="00FE4E49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дозволяти використання сорту рослин, породи тварин;</w:t>
      </w:r>
    </w:p>
    <w:p w:rsidR="005F6D1D" w:rsidRPr="00FE4E49" w:rsidRDefault="005F6D1D" w:rsidP="005F6D1D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перешкоджати неправомірному використанню сорту рослин, породи тварин, у</w:t>
      </w:r>
      <w:r w:rsid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тому числі забороняти таке використання;</w:t>
      </w:r>
    </w:p>
    <w:p w:rsidR="00200EC2" w:rsidRDefault="005F6D1D" w:rsidP="00FE4E49">
      <w:pPr>
        <w:pStyle w:val="ab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4E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майнові права інтелектуальної власності, встановлені законом.</w:t>
      </w:r>
    </w:p>
    <w:p w:rsidR="00083DE3" w:rsidRPr="00083DE3" w:rsidRDefault="00083DE3" w:rsidP="00083DE3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Відповідно до ст. 505 (1) ЦК </w:t>
      </w:r>
      <w:r w:rsidRPr="00083D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комерційною таємницею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інформація, яка є секретною в тому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розумінні, що вона в цілому чи в певній формі та сукупності її складових є невідомою та не є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легкодоступною для осіб, які звичайно мають справу з видом інформації, до якого вона належить, 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зв'язку з цим має комерційну цінність та була предметом адекватних існуючим обставинам заходів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щодо збереження її секретності, вжитих особою, яка за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конно контролює цю інформацію.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Комерційною таємницею можуть бути відомості технічного, організаційного, комерційного,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виробничого та іншого характеру, за винятком тих, що відповідно до чинного законодавства не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можуть бути віднесені до комерційної таємниці.</w:t>
      </w:r>
    </w:p>
    <w:p w:rsidR="00083DE3" w:rsidRDefault="00083DE3" w:rsidP="00083DE3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Комерційна таємниця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це певна сукупність відомостей, знань, тобто вид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інформаційного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ресурсу. Якщо інформацію створено внаслідок певних інтелектуальних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зусиль людини, її можна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розглядати як об'єкт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 інтелектуальної власності.</w:t>
      </w:r>
    </w:p>
    <w:p w:rsidR="00083DE3" w:rsidRPr="00083DE3" w:rsidRDefault="00083DE3" w:rsidP="00083DE3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видів інформації, що не можуть становити комерційну таємницю, зокрема, належать:</w:t>
      </w:r>
    </w:p>
    <w:p w:rsidR="00083DE3" w:rsidRP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установчі документи;</w:t>
      </w:r>
    </w:p>
    <w:p w:rsidR="00083DE3" w:rsidRP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документи, що дають право здійснювати підприємницьку діяльність;</w:t>
      </w:r>
    </w:p>
    <w:p w:rsid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відомості за встановленими формами звітності про фінансово-господарську діяльність та інші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відомості, необхідні для перевірки правильності обчислення, сплати податків та інших обов'язкових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платежів;</w:t>
      </w:r>
    </w:p>
    <w:p w:rsid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документи про платоспроможність;</w:t>
      </w:r>
    </w:p>
    <w:p w:rsid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відомості про чисельність, склад працівників, їхню заробітну плату та умови праці;</w:t>
      </w:r>
    </w:p>
    <w:p w:rsidR="00083DE3" w:rsidRPr="00083DE3" w:rsidRDefault="00083DE3" w:rsidP="00083DE3">
      <w:pPr>
        <w:pStyle w:val="ab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документи про сплату податків та інших обов'язкових платежів, а також відомості про</w:t>
      </w:r>
    </w:p>
    <w:p w:rsidR="00083DE3" w:rsidRPr="00083DE3" w:rsidRDefault="00083DE3" w:rsidP="00083DE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забруднення довкілля, порушення антимонопольного законодавства, недотримання безпечних умов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праці, реалізацію продукції, що заподіює шкоду здоров'ю населення.</w:t>
      </w:r>
    </w:p>
    <w:p w:rsidR="00083DE3" w:rsidRPr="00083DE3" w:rsidRDefault="00083DE3" w:rsidP="005C23A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 дії охорони прав на комерційну таємницю обмежує лише строк існування сукупності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 ком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ерційної таємниці (ст. 508 ЦК).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Комерційна таємниця не потребує офіційного визнання її охороноспроможності, державної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реєстрації та виконання інших формальностей, а також сплати державних зборів чи мита.</w:t>
      </w:r>
    </w:p>
    <w:p w:rsidR="00083DE3" w:rsidRPr="00083DE3" w:rsidRDefault="00083DE3" w:rsidP="005C23A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Комерційна таємниця має відповідати таким вимогам:</w:t>
      </w:r>
    </w:p>
    <w:p w:rsidR="00083DE3" w:rsidRPr="005C23A9" w:rsidRDefault="00083DE3" w:rsidP="005C23A9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інформація, що становить комерційну таємницю, невідома іншим особам;</w:t>
      </w:r>
    </w:p>
    <w:p w:rsidR="005C23A9" w:rsidRDefault="00083DE3" w:rsidP="00083DE3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відсутній вільний доступ до інформації на законній підставі;</w:t>
      </w:r>
    </w:p>
    <w:p w:rsidR="00083DE3" w:rsidRPr="005C23A9" w:rsidRDefault="00083DE3" w:rsidP="00083DE3">
      <w:pPr>
        <w:pStyle w:val="ab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вжито заходів для охорони конфіденційності інформації.</w:t>
      </w:r>
    </w:p>
    <w:p w:rsidR="00083DE3" w:rsidRPr="00083DE3" w:rsidRDefault="00083DE3" w:rsidP="005C23A9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Комерційній таємниці властива найбільша серед інших об'єктів інтелектуальної власності</w:t>
      </w:r>
    </w:p>
    <w:p w:rsidR="00083DE3" w:rsidRPr="00083DE3" w:rsidRDefault="00083DE3" w:rsidP="00083DE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універсальність. Комерційною таємницею можуть бути визнані найрізноманітніші відомості,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пов'язані з виробництвом, технологічною інформацією, управлінням, фінансами та іншою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діяльністю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підприємця.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Комерційною таємницею вважають лише ту інформацію, що стосується підприємницької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діяльності. Тому суб'єкти підприємницької діяльності є суб'єкта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 прав на комерційну таємницю.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Підприємницькі товариства - це «товариства, які здійснюють підприємницьку діяльність з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метою одержання прибутку та подальшого його розподілу між учасниками» (ст. 84 ЦК). Видами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підприємницьких товариств є: господарські товариства (акціонерне товариство, товариство з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обмеженою або додатковою відповідальністю), повне та командитне товариства або виробничі</w:t>
      </w:r>
      <w:r w:rsidR="005C2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кооперативи.</w:t>
      </w:r>
    </w:p>
    <w:p w:rsidR="00083DE3" w:rsidRPr="00083DE3" w:rsidRDefault="005C23A9" w:rsidP="005C23A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506</w:t>
      </w:r>
      <w:r w:rsidR="00083DE3"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ЦК суб'єктами прав на комерційну таємницю можуть бути як фізичні,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83DE3"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і юридичні особи, які правомірно визначили інформацію як комерційну таємницю.</w:t>
      </w:r>
    </w:p>
    <w:p w:rsidR="00083DE3" w:rsidRPr="00083DE3" w:rsidRDefault="00083DE3" w:rsidP="00FC62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Фізична особа, яка не є індивідуальним підприємцем, не може володіти комерційною</w:t>
      </w:r>
      <w:r w:rsidR="00FC6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таємницею. У той же час немає перешкод для придбання такою фізичною особою права н</w:t>
      </w:r>
      <w:r w:rsidR="00FC6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використання відповідної комерційної таємниці. Чинне законодавство не встановлює будь-яких спеціальних обмежень володіння правами на комерційну таємницю для іноземних громадян або іноземних юридичних осіб. Вони можуть володіти цими правами на тих самих підставах, що й українські юридичні та фізичні особи.</w:t>
      </w:r>
    </w:p>
    <w:p w:rsidR="00083DE3" w:rsidRPr="00083DE3" w:rsidRDefault="00083DE3" w:rsidP="00FC62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Відповідно до ст. 506 (1) ЦК майновими правами на комерційну таємницю є:</w:t>
      </w:r>
    </w:p>
    <w:p w:rsidR="00083DE3" w:rsidRPr="00FC6235" w:rsidRDefault="00083DE3" w:rsidP="00FC6235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6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на використання комерційної таємниці;</w:t>
      </w:r>
    </w:p>
    <w:p w:rsidR="00083DE3" w:rsidRPr="00914636" w:rsidRDefault="00083DE3" w:rsidP="00914636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дозволяти використання комерційної таємниці;</w:t>
      </w:r>
    </w:p>
    <w:p w:rsidR="00083DE3" w:rsidRPr="00914636" w:rsidRDefault="00083DE3" w:rsidP="00083DE3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виключне право перешкоджати неправомірному розголошенню, збиранню або використанню</w:t>
      </w:r>
      <w:r w:rsid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комерційної таємниці;</w:t>
      </w:r>
    </w:p>
    <w:p w:rsidR="00083DE3" w:rsidRPr="00914636" w:rsidRDefault="00083DE3" w:rsidP="00914636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майнові права інтелектуальної власності, встановлені законом.</w:t>
      </w:r>
    </w:p>
    <w:p w:rsidR="00083DE3" w:rsidRPr="00083DE3" w:rsidRDefault="00083DE3" w:rsidP="0091463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Майнові права на комерційну таємницю належать особі, яка правомірно визначила інформацію</w:t>
      </w:r>
      <w:r w:rsid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 комерційну таємницю, якщо інше не встановлено договором.</w:t>
      </w:r>
    </w:p>
    <w:p w:rsidR="00083DE3" w:rsidRPr="00083DE3" w:rsidRDefault="00083DE3" w:rsidP="0091463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D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Основні права власника комерційної таємниці такі:</w:t>
      </w:r>
    </w:p>
    <w:p w:rsidR="00914636" w:rsidRDefault="00083DE3" w:rsidP="00083DE3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 права на комерційну таємницю може використовувати всі допустимі законом засоби</w:t>
      </w:r>
      <w:r w:rsid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забезпечення секретності інформації;</w:t>
      </w:r>
    </w:p>
    <w:p w:rsidR="00914636" w:rsidRDefault="00083DE3" w:rsidP="00083DE3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правовласник має право вимагати від інших осіб утримуватися від незаконного володіння</w:t>
      </w:r>
      <w:r w:rsid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інформацією, що становить комерційну таємницю;</w:t>
      </w:r>
    </w:p>
    <w:p w:rsidR="00083DE3" w:rsidRPr="00914636" w:rsidRDefault="00083DE3" w:rsidP="00083DE3">
      <w:pPr>
        <w:pStyle w:val="ab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власник комерційної таємниці має право розпоряджатися належним йому об'єкто</w:t>
      </w:r>
      <w:r w:rsidR="00914636"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</w:t>
      </w: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інтелектуальної власності (розголошувати перед публікою, продавати, перевипускати іншим</w:t>
      </w:r>
      <w:r w:rsidR="00FE7A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способом).</w:t>
      </w:r>
    </w:p>
    <w:p w:rsidR="009D25F1" w:rsidRDefault="009D25F1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25F1" w:rsidRDefault="009D25F1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037" w:rsidRPr="00F01169" w:rsidRDefault="00F01169" w:rsidP="00F01169">
      <w:pPr>
        <w:pStyle w:val="ab"/>
        <w:numPr>
          <w:ilvl w:val="1"/>
          <w:numId w:val="39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</w:t>
      </w:r>
      <w:r w:rsidR="00401972" w:rsidRPr="00F01169">
        <w:rPr>
          <w:rFonts w:ascii="Times New Roman" w:hAnsi="Times New Roman" w:cs="Times New Roman"/>
          <w:b/>
          <w:i/>
          <w:sz w:val="24"/>
          <w:szCs w:val="24"/>
        </w:rPr>
        <w:t>Постановка об’єктів інтелектуальної власності на бухгалтерський облік</w:t>
      </w:r>
    </w:p>
    <w:p w:rsidR="00401972" w:rsidRDefault="00401972" w:rsidP="00401972">
      <w:pPr>
        <w:spacing w:after="0" w:line="240" w:lineRule="auto"/>
        <w:ind w:firstLine="62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Об’єкти інтелектуальної власності як складові інтелектуального капіталу відображаються 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балансі підприємства 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вигляді нематеріальних активів.</w:t>
      </w:r>
    </w:p>
    <w:p w:rsidR="00401972" w:rsidRDefault="00401972" w:rsidP="00401972">
      <w:pPr>
        <w:spacing w:after="0" w:line="240" w:lineRule="auto"/>
        <w:ind w:firstLine="62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Порядок поставлення на баланс, обліку, амортизації та списання нематеріальних активів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визначається Положенням (стандартом) бухгалтерського обліку 8 “Нематеріальні активи” №242 від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18.10.99 із змінами, яке визначає методологічні засади формування у бухгалтерському обліку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інформації про нематеріальні активи і незавершені капітальні інвестиції в нематеріальні активи 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розкриття інформації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 них у фінансовій звітності.</w:t>
      </w:r>
    </w:p>
    <w:p w:rsidR="00401972" w:rsidRPr="00401972" w:rsidRDefault="00401972" w:rsidP="00F1594D">
      <w:pPr>
        <w:spacing w:after="0" w:line="240" w:lineRule="auto"/>
        <w:ind w:firstLine="62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Нематеріальний актив визначається як немонетарний актив, що не має матеріальної форми та</w:t>
      </w:r>
      <w:r w:rsid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 бути ідентифікований.</w:t>
      </w:r>
    </w:p>
    <w:p w:rsidR="00401972" w:rsidRPr="00401972" w:rsidRDefault="00401972" w:rsidP="00F1594D">
      <w:pPr>
        <w:spacing w:after="0" w:line="240" w:lineRule="auto"/>
        <w:ind w:firstLine="62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Облік нематеріальних активів ведеться щодо кожного об’єкта за такими групами:</w:t>
      </w:r>
    </w:p>
    <w:p w:rsidR="00F1594D" w:rsidRPr="00F1594D" w:rsidRDefault="00401972" w:rsidP="00401972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користування природними ресурсами (право користування надрами, іншими</w:t>
      </w:r>
      <w:r w:rsidR="00F1594D"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ресурсами природного середовища, геологічною та іншою інформацією про природне</w:t>
      </w:r>
      <w:r w:rsidR="00F1594D"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середовище тощо);</w:t>
      </w:r>
    </w:p>
    <w:p w:rsidR="00F1594D" w:rsidRDefault="00401972" w:rsidP="00401972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користування майном (право користування земельною ділянкою відповідно до        земельного законодавства, право на користування будівлею, право на оренду</w:t>
      </w:r>
      <w:r w:rsidR="00F1594D"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15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приміщень   тощо);</w:t>
      </w:r>
    </w:p>
    <w:p w:rsidR="00D820EC" w:rsidRDefault="00401972" w:rsidP="00401972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на комерційні позначення (права на торговельні марки (знаки для товарів і послуг), комерційні (фірмові) найменування тощо);</w:t>
      </w:r>
    </w:p>
    <w:p w:rsidR="00D820EC" w:rsidRDefault="00401972" w:rsidP="00401972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права на об’єкти промислової власності (право на винаходи, корисні моделі, промислові</w:t>
      </w:r>
      <w:r w:rsidR="00D820EC" w:rsidRP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зразки, сорти рослин, породи тварин, компонування (топографії) інтегральних мікросхем, комерційні таємниці, у тому числі ноу-хау, захист від недобросовісної конкуренції тощо);</w:t>
      </w:r>
    </w:p>
    <w:p w:rsidR="00401972" w:rsidRPr="00D820EC" w:rsidRDefault="00401972" w:rsidP="00401972">
      <w:pPr>
        <w:pStyle w:val="ab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авторське право та суміжні з ним права (право на літературні, художні, музичні твори,</w:t>
      </w:r>
    </w:p>
    <w:p w:rsidR="00516886" w:rsidRDefault="00401972" w:rsidP="00516886">
      <w:pPr>
        <w:spacing w:after="0" w:line="240" w:lineRule="auto"/>
        <w:ind w:left="708" w:firstLine="1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комп’ютерні програми, програми для електронно-о</w:t>
      </w:r>
      <w:r w:rsid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бчислювальних машин, компіляції даних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(бази даних), виконання, фонограми, відеограми, передачі (програми) організацій мовлення</w:t>
      </w:r>
      <w:r w:rsidR="00D820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5168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тощо);</w:t>
      </w:r>
    </w:p>
    <w:p w:rsidR="00401972" w:rsidRPr="00516886" w:rsidRDefault="00401972" w:rsidP="00516886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8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незавершені капітальні інвестиції в нематеріальні активи;</w:t>
      </w:r>
    </w:p>
    <w:p w:rsidR="00F7342B" w:rsidRDefault="00401972" w:rsidP="00401972">
      <w:pPr>
        <w:pStyle w:val="ab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34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нематеріальні активи (право на провадження діяльності, використання економічних та  інших привілеїв тощо).</w:t>
      </w:r>
    </w:p>
    <w:p w:rsidR="00F7342B" w:rsidRDefault="00F7342B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342B" w:rsidRDefault="00401972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Головними завданнями обліку нематеріальних активів згідно вказаного положення є:</w:t>
      </w:r>
    </w:p>
    <w:p w:rsidR="00F7342B" w:rsidRDefault="00401972" w:rsidP="00F7342B">
      <w:pPr>
        <w:pStyle w:val="ab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забезпечення контролю за рухом нематеріальних активів та їх збереженням з моменту</w:t>
      </w:r>
      <w:r w:rsidR="00F7342B"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придбання до моменту вибуття;</w:t>
      </w:r>
    </w:p>
    <w:p w:rsidR="00F7342B" w:rsidRDefault="00401972" w:rsidP="00401972">
      <w:pPr>
        <w:pStyle w:val="ab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правильне і своєчасне нарахування амортизації на нематеріальні активи;</w:t>
      </w:r>
    </w:p>
    <w:p w:rsidR="00F7342B" w:rsidRDefault="00401972" w:rsidP="00401972">
      <w:pPr>
        <w:pStyle w:val="ab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здійснення податкового обліку з операцій з нематеріальними активами;</w:t>
      </w:r>
    </w:p>
    <w:p w:rsidR="00401972" w:rsidRPr="00F7342B" w:rsidRDefault="00401972" w:rsidP="00401972">
      <w:pPr>
        <w:pStyle w:val="ab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одержання даних для складання звіту про нематеріальні активи.</w:t>
      </w:r>
    </w:p>
    <w:p w:rsidR="00401972" w:rsidRPr="00401972" w:rsidRDefault="00401972" w:rsidP="00F7342B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взяття на облік нематеріальні активи повинні бути закінченими, причому вказане</w:t>
      </w:r>
    </w:p>
    <w:p w:rsidR="00401972" w:rsidRPr="00401972" w:rsidRDefault="00401972" w:rsidP="004019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закінчення має бути засвідчене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відповідними документами (патентом, сертифікатом, ліцензією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тощо) у порядку, встановленому чинним законодавством України, а також мати термін використання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більше одного року (або одного операційного циклу, якщо він перевищує один рік).</w:t>
      </w:r>
    </w:p>
    <w:p w:rsidR="00401972" w:rsidRPr="00401972" w:rsidRDefault="00401972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Перейшовши в розряд нематеріального активу, об'єкт інтелектуальної власності здобуває якості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товару: його можна продати, подарувати, передати під заставу для одержання кредиту, внести в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статутний фонд, тощо.</w:t>
      </w:r>
    </w:p>
    <w:p w:rsidR="00401972" w:rsidRPr="00401972" w:rsidRDefault="00401972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Згідно до діючого законодавства, існують наступні можливі шляхи надходження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нематеріальних активів на баланс підприємства:</w:t>
      </w:r>
    </w:p>
    <w:p w:rsidR="00F7342B" w:rsidRDefault="00401972" w:rsidP="00401972">
      <w:pPr>
        <w:pStyle w:val="ab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внесок у статутний капітал засновниками;</w:t>
      </w:r>
    </w:p>
    <w:p w:rsidR="00F7342B" w:rsidRDefault="00401972" w:rsidP="00401972">
      <w:pPr>
        <w:pStyle w:val="ab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самостійна розробка (у тому числі й із залученням сторонніх виконавців);</w:t>
      </w:r>
    </w:p>
    <w:p w:rsidR="00F7342B" w:rsidRDefault="00401972" w:rsidP="00401972">
      <w:pPr>
        <w:pStyle w:val="ab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придбання в третіх осіб за гроші або обмін на інші схожі об'єкти (різниця в ціні не більше 10 % і подібне призначення);</w:t>
      </w:r>
    </w:p>
    <w:p w:rsidR="00401972" w:rsidRPr="00F7342B" w:rsidRDefault="00401972" w:rsidP="00401972">
      <w:pPr>
        <w:pStyle w:val="ab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безоплатна передача юридичними або фізичними особами (за договорами дарування або іншими, що не передбачають грошової або іншої компенсації за передані об'єкти).</w:t>
      </w:r>
    </w:p>
    <w:p w:rsidR="00401972" w:rsidRPr="00401972" w:rsidRDefault="00401972" w:rsidP="00F7342B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Необхідно зазначити, що придбані або отримані об’єкти інтелектуальної власності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відображаються на балансі підприємства у вигляді нематеріального активу лише у випадку існування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ймовірності одержання майбутніх економічних вигод, пов’язаних з їх використанням, а також коли їх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вартість може бути достовірно визначена. Якщо ж нематеріальний актив було отримано в результаті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власної розробки, то його відображають на балансі за умови, що підприємство має:</w:t>
      </w:r>
    </w:p>
    <w:p w:rsidR="00F7342B" w:rsidRDefault="00401972" w:rsidP="00401972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намір, технічну можливість та ресурси для доведення нематеріального активу до стану, у  якому він придатний для реалізації або використання;</w:t>
      </w:r>
    </w:p>
    <w:p w:rsidR="00F7342B" w:rsidRDefault="00401972" w:rsidP="00401972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можливість отримання майбутніх економічних вигод від реалізації або використання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нематеріального активу;</w:t>
      </w:r>
    </w:p>
    <w:p w:rsidR="00401972" w:rsidRPr="00F7342B" w:rsidRDefault="00401972" w:rsidP="00401972">
      <w:pPr>
        <w:pStyle w:val="ab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інформацію для достовірного визначення витрат, пов’язаних з розробленням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нематеріального активу.</w:t>
      </w:r>
    </w:p>
    <w:p w:rsidR="00401972" w:rsidRPr="00401972" w:rsidRDefault="00401972" w:rsidP="004019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Якщо нематеріальний актив не відповідає зазначеним критеріям, то витрати, пов’язані з його</w:t>
      </w:r>
    </w:p>
    <w:p w:rsidR="00401972" w:rsidRPr="00401972" w:rsidRDefault="00401972" w:rsidP="004019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придбанням чи створенням, визнаються витратами того звітного періоду, протягом якого вони були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здійснені без визнання таких витрат у майбутньому нематеріальним активом.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визнаються нематеріальним активом, а підлягають відображенню у складі витрат того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звітного періоду, в якому вони були здійснені:</w:t>
      </w:r>
    </w:p>
    <w:p w:rsidR="00F7342B" w:rsidRDefault="00401972" w:rsidP="00401972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витрати на дослідження;</w:t>
      </w:r>
    </w:p>
    <w:p w:rsidR="00F7342B" w:rsidRDefault="00401972" w:rsidP="00401972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витрати на підготовку і перепідготовку кадрів;</w:t>
      </w:r>
    </w:p>
    <w:p w:rsidR="00F7342B" w:rsidRDefault="00401972" w:rsidP="00401972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витрати на рекламу та просування продукції на ринку;</w:t>
      </w:r>
    </w:p>
    <w:p w:rsidR="00F7342B" w:rsidRDefault="00401972" w:rsidP="00401972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витрати на створення, реорганізацію та переміщення підприємства або його частини;</w:t>
      </w:r>
    </w:p>
    <w:p w:rsidR="00401972" w:rsidRPr="00F7342B" w:rsidRDefault="00401972" w:rsidP="00401972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витрати на підвищення ділової репутації підприємства, вартість видань і витрати на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створення торгових марок (товарних знаків).</w:t>
      </w:r>
    </w:p>
    <w:p w:rsidR="00401972" w:rsidRPr="00401972" w:rsidRDefault="00401972" w:rsidP="004019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Амортизація нематеріальних активів здійснюється протягом строку їх корисного використання,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який встановлюється підприємством при визнанні цього об’єкта активом (при зарахуванні на баланс)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 дозволяє нагромаджувати засоби для подальшого відновлення інших нематеріальних активів.</w:t>
      </w:r>
    </w:p>
    <w:p w:rsidR="00F7342B" w:rsidRDefault="00401972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Нематеріальний актив списується з балансу в разі його вибуття внаслідок продажу, безоплатної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передачі або неможливості отримання підприємством надалі економічних вигод від його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використання.</w:t>
      </w:r>
    </w:p>
    <w:p w:rsidR="00F7342B" w:rsidRDefault="00401972" w:rsidP="00F7342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Гудвіл - нематеріальний актив, вартість якого визначається як різниця між балансовою вартістю активів підприємства і його повною вартістю як майнового комплексу, що виникає внаслідок використання кращих управлінських якостей, що домінує позиції на ринку, нових</w:t>
      </w:r>
      <w:r w:rsidR="00F734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технологій і т.д</w:t>
      </w:r>
      <w:r w:rsid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B5B09" w:rsidRDefault="00401972" w:rsidP="009B5B0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9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якос</w:t>
      </w:r>
      <w:r w:rsid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ті гудвіла можуть розглядатися:</w:t>
      </w:r>
    </w:p>
    <w:p w:rsidR="009B5B09" w:rsidRDefault="00401972" w:rsidP="00401972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інфраструктура клієнтів або постачальників - напрацьовані зв'язки із клієнтами,</w:t>
      </w:r>
      <w:r w:rsid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постачальниками, інші ділові зв'язки;</w:t>
      </w:r>
    </w:p>
    <w:p w:rsidR="009B5B09" w:rsidRDefault="00401972" w:rsidP="00401972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престиж фірми - підприємство має репутацію надійного й сумлінного партнера;</w:t>
      </w:r>
    </w:p>
    <w:p w:rsidR="009B5B09" w:rsidRDefault="00401972" w:rsidP="00401972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пізнаване ім'я або торговельна марка й т.д.</w:t>
      </w:r>
    </w:p>
    <w:p w:rsidR="009B5B09" w:rsidRDefault="00401972" w:rsidP="009B5B0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Вартість гудвіла не підлягає амортизації.</w:t>
      </w:r>
      <w:r w:rsidR="009B5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F2860" w:rsidRDefault="006F2860" w:rsidP="006F28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Оцінка об'єктів інтелектуальної власності - це визначення їхньої вартості на дату оцінки 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порядку і за допомогою методичних підходів, визначених Національним стандартом № 4 "Оцінка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майнових прав інтелектуальної власності". Даний документ є обов'язковим до використання всіма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уб'єктами оціночної діяльності.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Суб'єкти оціночної діяльності - зареєстровані у встановленому порядку фізичні і юридичні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особи, що мають у складі персоналу хоча б одного оцінювача і отримали відповідний сертифікат 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право 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дійснення оціночної діяльності.</w:t>
      </w:r>
    </w:p>
    <w:p w:rsidR="006F2860" w:rsidRPr="006F2860" w:rsidRDefault="006F2860" w:rsidP="006F28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суб'єктів оціночної діяльності належать також органи державної влади й місцевого</w:t>
      </w:r>
    </w:p>
    <w:p w:rsidR="006F2860" w:rsidRDefault="006F2860" w:rsidP="006F28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самоврядування, що одержали повноваження на здійснення оціночної діяльності в процесі виконання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функцій щодо керування й розпорядження державним майном (у складі персоналу також повинні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бути оцінювачі).</w:t>
      </w:r>
    </w:p>
    <w:p w:rsidR="006F2860" w:rsidRDefault="006F2860" w:rsidP="006F28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Оцінка виконується на підставі договору й має як результат звіт про оцінку й акт оцінки,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оформлені відповідно до вимог Національного стандарту № 1 "Загальні засади оцінки майна 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майнових прав" і Закону України "Про оцінку майна, майнових прав та професійну оціночну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діяльність в Україні".</w:t>
      </w:r>
    </w:p>
    <w:p w:rsidR="006F2860" w:rsidRPr="006F2860" w:rsidRDefault="006F2860" w:rsidP="006F286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Необхідність в оцінці об'єктів інтелектуальної власності виникає в таких випадках:</w:t>
      </w:r>
    </w:p>
    <w:p w:rsidR="006F2860" w:rsidRP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поставленні на баланс об'єкта інтелектуальної власності, розробленого на даному   підприємстві, як нематеріальний актив;</w:t>
      </w:r>
    </w:p>
    <w:p w:rsidR="006F2860" w:rsidRP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визначення розмірів оподатковуваної бази підприємства;</w:t>
      </w:r>
    </w:p>
    <w:p w:rsidR="006F2860" w:rsidRP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внесенні об'єкта інтелектуальної власності у статутний фонд підприємства;</w:t>
      </w:r>
    </w:p>
    <w:p w:rsid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визначенні майнових часток у статутному капіталі підприємства при його реорганізації, приватизації й інших операціях;</w:t>
      </w:r>
    </w:p>
    <w:p w:rsid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визначенні вартості виключних прав, переданих на підставі договору;</w:t>
      </w:r>
    </w:p>
    <w:p w:rsid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визначенні обсягів компенсації, яку необхідно виплатити власникові інтелектуальної   власності за порушення його виняткових майнових прав відповідно до чинного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законодавства;</w:t>
      </w:r>
    </w:p>
    <w:p w:rsid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участі об'єктів інтелектуальної власності в інвестиційних й інноваційних проектах;</w:t>
      </w:r>
    </w:p>
    <w:p w:rsid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страхуванні об'єктів інтелектуальної власності;</w:t>
      </w:r>
    </w:p>
    <w:p w:rsidR="006F2860" w:rsidRPr="006F2860" w:rsidRDefault="006F2860" w:rsidP="006F2860">
      <w:pPr>
        <w:pStyle w:val="ab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 випадки.</w:t>
      </w:r>
    </w:p>
    <w:p w:rsidR="009B5B09" w:rsidRDefault="009B5B09" w:rsidP="009B5B0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81C94" w:rsidRPr="003A7717" w:rsidRDefault="00881C94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96E7A" w:rsidRPr="0057032E" w:rsidRDefault="00496E7A" w:rsidP="00496E7A">
      <w:pPr>
        <w:shd w:val="clear" w:color="auto" w:fill="FFFFFF" w:themeFill="background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3A0DDC" w:rsidRPr="0057032E" w:rsidRDefault="003A0DDC" w:rsidP="00496E7A">
      <w:pPr>
        <w:shd w:val="clear" w:color="auto" w:fill="FFFFFF" w:themeFill="background1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496E7A" w:rsidRPr="00F01169" w:rsidRDefault="00496E7A" w:rsidP="00F01169">
      <w:pPr>
        <w:pStyle w:val="ab"/>
        <w:numPr>
          <w:ilvl w:val="0"/>
          <w:numId w:val="39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011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ТЕСТОВІ ЗАВДАННЯ</w:t>
      </w:r>
    </w:p>
    <w:p w:rsidR="00364B79" w:rsidRPr="00CA17FF" w:rsidRDefault="00364B79" w:rsidP="00364B79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Тест №9.</w:t>
      </w:r>
      <w:r w:rsidRPr="00CA17FF">
        <w:rPr>
          <w:i/>
          <w:iCs/>
        </w:rPr>
        <w:t xml:space="preserve"> Уперше патенти на об'єкти промислової власності стали видавати:</w:t>
      </w:r>
    </w:p>
    <w:p w:rsidR="00364B79" w:rsidRPr="002C0055" w:rsidRDefault="00364B79" w:rsidP="00364B79">
      <w:pPr>
        <w:autoSpaceDE w:val="0"/>
        <w:autoSpaceDN w:val="0"/>
        <w:adjustRightInd w:val="0"/>
        <w:rPr>
          <w:b/>
          <w:i/>
          <w:u w:val="single"/>
        </w:rPr>
      </w:pPr>
      <w:r w:rsidRPr="002C0055">
        <w:rPr>
          <w:b/>
          <w:i/>
          <w:u w:val="single"/>
        </w:rPr>
        <w:t>а) у США;</w:t>
      </w:r>
    </w:p>
    <w:p w:rsidR="00364B79" w:rsidRPr="00CA17FF" w:rsidRDefault="00364B79" w:rsidP="00364B79">
      <w:pPr>
        <w:autoSpaceDE w:val="0"/>
        <w:autoSpaceDN w:val="0"/>
        <w:adjustRightInd w:val="0"/>
      </w:pPr>
      <w:r w:rsidRPr="00CA17FF">
        <w:t>б) у Німеччині;</w:t>
      </w:r>
    </w:p>
    <w:p w:rsidR="00364B79" w:rsidRPr="00CA17FF" w:rsidRDefault="00364B79" w:rsidP="00364B79">
      <w:pPr>
        <w:autoSpaceDE w:val="0"/>
        <w:autoSpaceDN w:val="0"/>
        <w:adjustRightInd w:val="0"/>
      </w:pPr>
      <w:r w:rsidRPr="00CA17FF">
        <w:t>в) в Англії;</w:t>
      </w:r>
    </w:p>
    <w:p w:rsidR="00364B79" w:rsidRPr="00CA17FF" w:rsidRDefault="00364B79" w:rsidP="00364B79">
      <w:pPr>
        <w:autoSpaceDE w:val="0"/>
        <w:autoSpaceDN w:val="0"/>
        <w:adjustRightInd w:val="0"/>
      </w:pPr>
      <w:r w:rsidRPr="00CA17FF">
        <w:t>г) у Франції;</w:t>
      </w:r>
    </w:p>
    <w:p w:rsidR="00364B79" w:rsidRPr="00172624" w:rsidRDefault="00364B79" w:rsidP="00364B79">
      <w:pPr>
        <w:autoSpaceDE w:val="0"/>
        <w:autoSpaceDN w:val="0"/>
        <w:adjustRightInd w:val="0"/>
        <w:rPr>
          <w:lang w:val="ru-RU"/>
        </w:rPr>
      </w:pPr>
      <w:r w:rsidRPr="00CA17FF">
        <w:t>д) в Японії.</w:t>
      </w:r>
    </w:p>
    <w:p w:rsidR="00364B79" w:rsidRPr="00F01169" w:rsidRDefault="00F01169" w:rsidP="00364B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1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Пояснення: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01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1787 році в США прийнятий закон про патенти і в 1790 році вперше виданий патент</w:t>
      </w:r>
    </w:p>
    <w:p w:rsidR="00F01169" w:rsidRDefault="00F01169" w:rsidP="00364B79">
      <w:pPr>
        <w:autoSpaceDE w:val="0"/>
        <w:autoSpaceDN w:val="0"/>
        <w:adjustRightInd w:val="0"/>
        <w:rPr>
          <w:i/>
          <w:iCs/>
        </w:rPr>
      </w:pPr>
    </w:p>
    <w:p w:rsidR="00364B79" w:rsidRPr="00CA17FF" w:rsidRDefault="00364B79" w:rsidP="00364B79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Тест №</w:t>
      </w:r>
      <w:r w:rsidRPr="00CA17FF">
        <w:rPr>
          <w:i/>
          <w:iCs/>
        </w:rPr>
        <w:t>10. Перший закон про авторське право був опублікований:</w:t>
      </w:r>
    </w:p>
    <w:p w:rsidR="00364B79" w:rsidRPr="00364B79" w:rsidRDefault="00364B79" w:rsidP="00364B79">
      <w:pPr>
        <w:autoSpaceDE w:val="0"/>
        <w:autoSpaceDN w:val="0"/>
        <w:adjustRightInd w:val="0"/>
      </w:pPr>
      <w:r w:rsidRPr="00364B79">
        <w:t>а) у США;</w:t>
      </w:r>
    </w:p>
    <w:p w:rsidR="00364B79" w:rsidRPr="00CA17FF" w:rsidRDefault="00364B79" w:rsidP="00364B79">
      <w:pPr>
        <w:autoSpaceDE w:val="0"/>
        <w:autoSpaceDN w:val="0"/>
        <w:adjustRightInd w:val="0"/>
      </w:pPr>
      <w:r w:rsidRPr="00CA17FF">
        <w:t>б) у Німеччині;</w:t>
      </w:r>
    </w:p>
    <w:p w:rsidR="00364B79" w:rsidRPr="00364B79" w:rsidRDefault="00364B79" w:rsidP="00364B79">
      <w:pPr>
        <w:autoSpaceDE w:val="0"/>
        <w:autoSpaceDN w:val="0"/>
        <w:adjustRightInd w:val="0"/>
        <w:rPr>
          <w:b/>
          <w:i/>
          <w:u w:val="single"/>
        </w:rPr>
      </w:pPr>
      <w:r w:rsidRPr="00364B79">
        <w:rPr>
          <w:b/>
          <w:i/>
          <w:u w:val="single"/>
        </w:rPr>
        <w:t>в) в Англії;</w:t>
      </w:r>
    </w:p>
    <w:p w:rsidR="00364B79" w:rsidRPr="00CA17FF" w:rsidRDefault="00364B79" w:rsidP="00364B79">
      <w:pPr>
        <w:autoSpaceDE w:val="0"/>
        <w:autoSpaceDN w:val="0"/>
        <w:adjustRightInd w:val="0"/>
      </w:pPr>
      <w:r w:rsidRPr="00CA17FF">
        <w:t>г) у Франції;</w:t>
      </w:r>
    </w:p>
    <w:p w:rsidR="00364B79" w:rsidRPr="00172624" w:rsidRDefault="00364B79" w:rsidP="00364B79">
      <w:pPr>
        <w:autoSpaceDE w:val="0"/>
        <w:autoSpaceDN w:val="0"/>
        <w:adjustRightInd w:val="0"/>
        <w:rPr>
          <w:lang w:val="ru-RU"/>
        </w:rPr>
      </w:pPr>
      <w:r w:rsidRPr="00CA17FF">
        <w:t>д) в Японії.</w:t>
      </w:r>
    </w:p>
    <w:p w:rsidR="00916342" w:rsidRPr="00364B79" w:rsidRDefault="00364B79" w:rsidP="00364B79">
      <w:pPr>
        <w:shd w:val="clear" w:color="auto" w:fill="FFFFFF" w:themeFill="background1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Пояснення: 10 квітня 1710. Вперше прийнятий закон - Статут королеви Анни, що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вводить авторське право. Закон, прийнятий британським парламентом, захищає авторів книг,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 і креслень. Автор твору має права на свій утвір протягом 14-ти років і після закінчення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цього терміну має право продовжити його ще на 14 років. Реєстрація проводиться в судах.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64B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вступу в дію Статуту Анни, автор міг продати свій твір (рукопис) і після цього втрачав на неї права, а видавець отримував безстрокові права на придбаний текст.</w:t>
      </w: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AF2B44" w:rsidRDefault="00AF2B44" w:rsidP="00496E7A">
      <w:pPr>
        <w:shd w:val="clear" w:color="auto" w:fill="FFFFFF" w:themeFill="background1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00B050"/>
        </w:rPr>
      </w:pPr>
    </w:p>
    <w:p w:rsidR="00916342" w:rsidRPr="00F01169" w:rsidRDefault="00916342" w:rsidP="00F01169">
      <w:pPr>
        <w:pStyle w:val="ab"/>
        <w:numPr>
          <w:ilvl w:val="0"/>
          <w:numId w:val="39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0116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ЗАДАЧА</w:t>
      </w:r>
    </w:p>
    <w:p w:rsidR="003112B1" w:rsidRPr="00703C04" w:rsidRDefault="00916342" w:rsidP="0072166D">
      <w:pPr>
        <w:shd w:val="clear" w:color="auto" w:fill="FFFFFF" w:themeFill="background1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72166D">
        <w:rPr>
          <w:rFonts w:ascii="Times New Roman" w:hAnsi="Times New Roman" w:cs="Times New Roman"/>
          <w:b/>
          <w:i/>
          <w:color w:val="000000"/>
          <w:sz w:val="28"/>
          <w:szCs w:val="24"/>
          <w:shd w:val="clear" w:color="auto" w:fill="FFFFFF"/>
        </w:rPr>
        <w:t>Умова:</w:t>
      </w:r>
      <w:r w:rsidRPr="0072166D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 xml:space="preserve"> </w:t>
      </w:r>
      <w:r w:rsidRPr="00916342">
        <w:rPr>
          <w:rFonts w:ascii="Times New Roman" w:hAnsi="Times New Roman" w:cs="Times New Roman"/>
          <w:sz w:val="24"/>
          <w:szCs w:val="24"/>
        </w:rPr>
        <w:t xml:space="preserve">Визначити методом роялті чисту поточну </w:t>
      </w:r>
      <w:r w:rsidRPr="00916342">
        <w:rPr>
          <w:rFonts w:ascii="Times New Roman" w:hAnsi="Times New Roman" w:cs="Times New Roman"/>
          <w:sz w:val="24"/>
          <w:szCs w:val="24"/>
          <w:lang w:eastAsia="en-US"/>
        </w:rPr>
        <w:t>вартість</w:t>
      </w:r>
      <w:r w:rsidRPr="00916342">
        <w:rPr>
          <w:rFonts w:ascii="Times New Roman" w:hAnsi="Times New Roman" w:cs="Times New Roman"/>
          <w:sz w:val="24"/>
          <w:szCs w:val="24"/>
        </w:rPr>
        <w:t xml:space="preserve"> патентної ліцензії, якщо об’єм щорічно виробленої за ліцензією продукції (вид продукції обирається згідно з даними гр. 1 табл. 2) становить А тис. шт., а собівартість одиниці ліцензійної продукції  становить  Б грн. за шт. </w:t>
      </w:r>
    </w:p>
    <w:p w:rsidR="003112B1" w:rsidRPr="003112B1" w:rsidRDefault="003112B1" w:rsidP="0072166D">
      <w:pPr>
        <w:shd w:val="clear" w:color="auto" w:fill="FFFFFF" w:themeFill="background1"/>
        <w:ind w:left="993" w:hanging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12B1">
        <w:rPr>
          <w:rFonts w:ascii="Times New Roman" w:hAnsi="Times New Roman" w:cs="Times New Roman"/>
          <w:b/>
          <w:sz w:val="24"/>
          <w:szCs w:val="24"/>
        </w:rPr>
        <w:t>Дано:</w:t>
      </w:r>
    </w:p>
    <w:p w:rsidR="003112B1" w:rsidRPr="003112B1" w:rsidRDefault="003112B1" w:rsidP="003112B1">
      <w:pPr>
        <w:pStyle w:val="ab"/>
        <w:numPr>
          <w:ilvl w:val="0"/>
          <w:numId w:val="10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12B1">
        <w:rPr>
          <w:rFonts w:ascii="Times New Roman" w:hAnsi="Times New Roman" w:cs="Times New Roman"/>
          <w:sz w:val="24"/>
          <w:szCs w:val="24"/>
        </w:rPr>
        <w:t>Вид продукції: літаки, зброя</w:t>
      </w:r>
    </w:p>
    <w:p w:rsidR="003112B1" w:rsidRPr="003112B1" w:rsidRDefault="003112B1" w:rsidP="003112B1">
      <w:pPr>
        <w:pStyle w:val="ab"/>
        <w:numPr>
          <w:ilvl w:val="0"/>
          <w:numId w:val="10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12B1">
        <w:rPr>
          <w:rFonts w:ascii="Times New Roman" w:hAnsi="Times New Roman" w:cs="Times New Roman"/>
          <w:sz w:val="24"/>
          <w:szCs w:val="24"/>
        </w:rPr>
        <w:t>Ставка роялті (</w:t>
      </w:r>
      <w:r w:rsidRPr="003112B1">
        <w:rPr>
          <w:sz w:val="28"/>
          <w:szCs w:val="28"/>
          <w:lang w:val="en-US" w:eastAsia="en-US"/>
        </w:rPr>
        <w:t>R</w:t>
      </w:r>
      <w:r w:rsidRPr="003112B1">
        <w:rPr>
          <w:sz w:val="28"/>
          <w:szCs w:val="28"/>
          <w:vertAlign w:val="subscript"/>
          <w:lang w:val="en-US"/>
        </w:rPr>
        <w:t>t</w:t>
      </w:r>
      <w:r w:rsidRPr="003112B1">
        <w:rPr>
          <w:rFonts w:ascii="Times New Roman" w:hAnsi="Times New Roman" w:cs="Times New Roman"/>
          <w:sz w:val="24"/>
          <w:szCs w:val="24"/>
        </w:rPr>
        <w:t>)</w:t>
      </w:r>
      <w:r w:rsidRPr="003112B1">
        <w:rPr>
          <w:sz w:val="28"/>
          <w:szCs w:val="28"/>
          <w:vertAlign w:val="subscript"/>
        </w:rPr>
        <w:t xml:space="preserve"> </w:t>
      </w:r>
      <w:r w:rsidRPr="003112B1">
        <w:rPr>
          <w:rFonts w:ascii="Times New Roman" w:hAnsi="Times New Roman" w:cs="Times New Roman"/>
          <w:sz w:val="24"/>
          <w:szCs w:val="24"/>
        </w:rPr>
        <w:t>= 5-10%</w:t>
      </w:r>
    </w:p>
    <w:p w:rsidR="003112B1" w:rsidRDefault="003112B1" w:rsidP="003112B1">
      <w:pPr>
        <w:pStyle w:val="ab"/>
        <w:numPr>
          <w:ilvl w:val="0"/>
          <w:numId w:val="10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12B1">
        <w:rPr>
          <w:rFonts w:ascii="Times New Roman" w:hAnsi="Times New Roman" w:cs="Times New Roman"/>
          <w:sz w:val="24"/>
          <w:szCs w:val="24"/>
        </w:rPr>
        <w:t>Об’єм щорічно виробленої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2B1">
        <w:rPr>
          <w:rFonts w:ascii="Times New Roman" w:hAnsi="Times New Roman" w:cs="Times New Roman"/>
          <w:sz w:val="24"/>
          <w:szCs w:val="24"/>
        </w:rPr>
        <w:t>продукції (</w:t>
      </w:r>
      <w:r w:rsidRPr="003112B1">
        <w:rPr>
          <w:sz w:val="28"/>
          <w:szCs w:val="28"/>
          <w:lang w:val="en-US" w:eastAsia="en-US"/>
        </w:rPr>
        <w:t>V</w:t>
      </w:r>
      <w:r w:rsidRPr="003112B1">
        <w:rPr>
          <w:sz w:val="28"/>
          <w:szCs w:val="28"/>
          <w:vertAlign w:val="subscript"/>
          <w:lang w:val="en-US"/>
        </w:rPr>
        <w:t>t</w:t>
      </w:r>
      <w:r w:rsidRPr="003112B1">
        <w:rPr>
          <w:rFonts w:ascii="Times New Roman" w:hAnsi="Times New Roman" w:cs="Times New Roman"/>
          <w:sz w:val="24"/>
          <w:szCs w:val="24"/>
        </w:rPr>
        <w:t xml:space="preserve">) = </w:t>
      </w:r>
      <w:r w:rsidR="009C2DA5" w:rsidRPr="009C2DA5">
        <w:rPr>
          <w:rFonts w:ascii="Times New Roman" w:hAnsi="Times New Roman" w:cs="Times New Roman"/>
          <w:sz w:val="24"/>
          <w:szCs w:val="24"/>
        </w:rPr>
        <w:t>140</w:t>
      </w:r>
      <w:r w:rsidRPr="003112B1">
        <w:rPr>
          <w:rFonts w:ascii="Times New Roman" w:hAnsi="Times New Roman" w:cs="Times New Roman"/>
          <w:sz w:val="24"/>
          <w:szCs w:val="24"/>
        </w:rPr>
        <w:t xml:space="preserve"> тис.шт</w:t>
      </w:r>
      <w:r w:rsidR="009C2DA5" w:rsidRPr="009C2D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2B1" w:rsidRDefault="003112B1" w:rsidP="003112B1">
      <w:pPr>
        <w:pStyle w:val="ab"/>
        <w:numPr>
          <w:ilvl w:val="0"/>
          <w:numId w:val="10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Собівартсть одиниці продукції (</w:t>
      </w:r>
      <w:r w:rsidRPr="009C5472">
        <w:rPr>
          <w:sz w:val="28"/>
          <w:szCs w:val="28"/>
          <w:lang w:val="en-US"/>
        </w:rPr>
        <w:t>Z</w:t>
      </w:r>
      <w:r w:rsidRPr="009C5472">
        <w:rPr>
          <w:sz w:val="28"/>
          <w:szCs w:val="28"/>
          <w:vertAlign w:val="subscript"/>
          <w:lang w:val="en-US"/>
        </w:rPr>
        <w:t>t</w:t>
      </w:r>
      <w:r w:rsidRPr="009C5472">
        <w:rPr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703C04">
        <w:rPr>
          <w:rFonts w:ascii="Times New Roman" w:hAnsi="Times New Roman" w:cs="Times New Roman"/>
          <w:sz w:val="24"/>
          <w:szCs w:val="24"/>
        </w:rPr>
        <w:t xml:space="preserve"> </w:t>
      </w:r>
      <w:r w:rsidR="009C2DA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C2DA5" w:rsidRPr="009C2DA5">
        <w:rPr>
          <w:rFonts w:ascii="Times New Roman" w:hAnsi="Times New Roman" w:cs="Times New Roman"/>
          <w:sz w:val="24"/>
          <w:szCs w:val="24"/>
          <w:lang w:val="ru-RU"/>
        </w:rPr>
        <w:t>,51</w:t>
      </w:r>
      <w:r w:rsidR="00703C04">
        <w:rPr>
          <w:rFonts w:ascii="Times New Roman" w:hAnsi="Times New Roman" w:cs="Times New Roman"/>
          <w:sz w:val="24"/>
          <w:szCs w:val="24"/>
        </w:rPr>
        <w:t xml:space="preserve"> </w:t>
      </w:r>
      <w:r w:rsidR="009C2DA5" w:rsidRPr="009C2D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DA5">
        <w:rPr>
          <w:rFonts w:ascii="Times New Roman" w:hAnsi="Times New Roman" w:cs="Times New Roman"/>
          <w:sz w:val="24"/>
          <w:szCs w:val="24"/>
          <w:lang w:val="ru-RU"/>
        </w:rPr>
        <w:t xml:space="preserve"> тис. </w:t>
      </w:r>
      <w:r w:rsidR="00703C04">
        <w:rPr>
          <w:rFonts w:ascii="Times New Roman" w:hAnsi="Times New Roman" w:cs="Times New Roman"/>
          <w:sz w:val="24"/>
          <w:szCs w:val="24"/>
        </w:rPr>
        <w:t>грн</w:t>
      </w:r>
    </w:p>
    <w:p w:rsidR="00703C04" w:rsidRDefault="00703C04" w:rsidP="003112B1">
      <w:pPr>
        <w:pStyle w:val="ab"/>
        <w:numPr>
          <w:ilvl w:val="0"/>
          <w:numId w:val="10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Термін дії ліцензії 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C2DA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7-10 років</w:t>
      </w:r>
    </w:p>
    <w:p w:rsidR="00703C04" w:rsidRPr="00703C04" w:rsidRDefault="00703C04" w:rsidP="00703C04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C04">
        <w:rPr>
          <w:rFonts w:ascii="Times New Roman" w:hAnsi="Times New Roman" w:cs="Times New Roman"/>
          <w:b/>
          <w:sz w:val="24"/>
          <w:szCs w:val="24"/>
        </w:rPr>
        <w:t>Визначити:</w:t>
      </w:r>
    </w:p>
    <w:p w:rsidR="00703C04" w:rsidRDefault="00703C04" w:rsidP="00703C04">
      <w:pPr>
        <w:pStyle w:val="ab"/>
        <w:numPr>
          <w:ilvl w:val="0"/>
          <w:numId w:val="11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03C04">
        <w:rPr>
          <w:rFonts w:ascii="Times New Roman" w:hAnsi="Times New Roman" w:cs="Times New Roman"/>
          <w:sz w:val="24"/>
          <w:szCs w:val="24"/>
        </w:rPr>
        <w:t xml:space="preserve">Поточну </w:t>
      </w:r>
      <w:r w:rsidRPr="00703C04">
        <w:rPr>
          <w:rFonts w:ascii="Times New Roman" w:hAnsi="Times New Roman" w:cs="Times New Roman"/>
          <w:sz w:val="24"/>
          <w:szCs w:val="24"/>
          <w:lang w:eastAsia="en-US"/>
        </w:rPr>
        <w:t>вартість</w:t>
      </w:r>
      <w:r w:rsidRPr="00703C04">
        <w:rPr>
          <w:rFonts w:ascii="Times New Roman" w:hAnsi="Times New Roman" w:cs="Times New Roman"/>
          <w:sz w:val="24"/>
          <w:szCs w:val="24"/>
        </w:rPr>
        <w:t xml:space="preserve"> патентної ліцензії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0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?</w:t>
      </w:r>
    </w:p>
    <w:p w:rsidR="00703C04" w:rsidRPr="00703C04" w:rsidRDefault="00703C04" w:rsidP="00703C04">
      <w:pPr>
        <w:pStyle w:val="ab"/>
        <w:shd w:val="clear" w:color="auto" w:fill="FFFFFF" w:themeFill="background1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03C04" w:rsidRDefault="00703C04" w:rsidP="00703C04">
      <w:pPr>
        <w:pStyle w:val="ab"/>
        <w:shd w:val="clear" w:color="auto" w:fill="FFFFFF" w:themeFill="background1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C04">
        <w:rPr>
          <w:rFonts w:ascii="Times New Roman" w:hAnsi="Times New Roman" w:cs="Times New Roman"/>
          <w:b/>
          <w:sz w:val="24"/>
          <w:szCs w:val="24"/>
        </w:rPr>
        <w:t>Розрахунок:</w:t>
      </w:r>
    </w:p>
    <w:p w:rsidR="00703C04" w:rsidRDefault="00703C04" w:rsidP="00B11232">
      <w:pPr>
        <w:pStyle w:val="ab"/>
        <w:shd w:val="clear" w:color="auto" w:fill="FFFFFF" w:themeFill="background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11232" w:rsidRPr="00B11232" w:rsidRDefault="00703C04" w:rsidP="00B11232">
      <w:pPr>
        <w:pStyle w:val="ab"/>
        <w:numPr>
          <w:ilvl w:val="0"/>
          <w:numId w:val="12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1232">
        <w:rPr>
          <w:rFonts w:ascii="Times New Roman" w:hAnsi="Times New Roman" w:cs="Times New Roman"/>
          <w:sz w:val="24"/>
          <w:szCs w:val="24"/>
        </w:rPr>
        <w:t xml:space="preserve">Для зручності за період дії ліцензії візьмемо величино </w:t>
      </w:r>
      <w:r w:rsidRPr="00B112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F2B44" w:rsidRPr="00570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032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AF2B44" w:rsidRPr="00570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032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B11232">
        <w:rPr>
          <w:rFonts w:ascii="Times New Roman" w:hAnsi="Times New Roman" w:cs="Times New Roman"/>
          <w:sz w:val="24"/>
          <w:szCs w:val="24"/>
        </w:rPr>
        <w:t xml:space="preserve"> </w:t>
      </w:r>
      <w:r w:rsidRPr="00B11232">
        <w:rPr>
          <w:rFonts w:ascii="Times New Roman" w:hAnsi="Times New Roman" w:cs="Times New Roman"/>
          <w:sz w:val="24"/>
          <w:szCs w:val="24"/>
        </w:rPr>
        <w:t>років</w:t>
      </w:r>
    </w:p>
    <w:p w:rsidR="00703C04" w:rsidRPr="00B11232" w:rsidRDefault="00703C04" w:rsidP="00B11232">
      <w:pPr>
        <w:pStyle w:val="ab"/>
        <w:numPr>
          <w:ilvl w:val="0"/>
          <w:numId w:val="12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1232">
        <w:rPr>
          <w:rFonts w:ascii="Times New Roman" w:hAnsi="Times New Roman" w:cs="Times New Roman"/>
          <w:sz w:val="24"/>
          <w:szCs w:val="24"/>
        </w:rPr>
        <w:t xml:space="preserve">Згідно примітки до таб.1 при багатосерійному виробництві (літаки, зброя) </w:t>
      </w:r>
      <w:r w:rsidR="00B11232" w:rsidRPr="00B11232">
        <w:rPr>
          <w:rFonts w:ascii="Times New Roman" w:hAnsi="Times New Roman" w:cs="Times New Roman"/>
          <w:sz w:val="24"/>
          <w:szCs w:val="24"/>
        </w:rPr>
        <w:t xml:space="preserve">приймемо   мінімальне значення ставки роялті величину </w:t>
      </w:r>
      <w:r w:rsidR="00B11232" w:rsidRPr="00B11232">
        <w:rPr>
          <w:sz w:val="24"/>
          <w:szCs w:val="24"/>
          <w:lang w:val="en-US" w:eastAsia="en-US"/>
        </w:rPr>
        <w:t>R</w:t>
      </w:r>
      <w:r w:rsidR="00B11232" w:rsidRPr="00B11232">
        <w:rPr>
          <w:sz w:val="24"/>
          <w:szCs w:val="24"/>
          <w:vertAlign w:val="subscript"/>
          <w:lang w:val="en-US"/>
        </w:rPr>
        <w:t>t</w:t>
      </w:r>
      <w:r w:rsidR="00B11232" w:rsidRPr="00B11232">
        <w:rPr>
          <w:sz w:val="24"/>
          <w:szCs w:val="24"/>
          <w:vertAlign w:val="subscript"/>
        </w:rPr>
        <w:t xml:space="preserve"> </w:t>
      </w:r>
      <w:r w:rsidR="00B11232" w:rsidRPr="00B11232">
        <w:rPr>
          <w:rFonts w:ascii="Times New Roman" w:hAnsi="Times New Roman" w:cs="Times New Roman"/>
          <w:sz w:val="24"/>
          <w:szCs w:val="24"/>
        </w:rPr>
        <w:t>= 5%</w:t>
      </w:r>
    </w:p>
    <w:p w:rsidR="00B11232" w:rsidRPr="00B11232" w:rsidRDefault="00B11232" w:rsidP="00B11232">
      <w:pPr>
        <w:pStyle w:val="ab"/>
        <w:numPr>
          <w:ilvl w:val="0"/>
          <w:numId w:val="12"/>
        </w:numPr>
        <w:shd w:val="clear" w:color="auto" w:fill="FFFFFF" w:themeFill="background1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1232">
        <w:rPr>
          <w:rFonts w:ascii="Times New Roman" w:hAnsi="Times New Roman" w:cs="Times New Roman"/>
          <w:sz w:val="24"/>
          <w:szCs w:val="24"/>
        </w:rPr>
        <w:t>Величина грошового потоку в періоді t</w:t>
      </w:r>
      <w:r w:rsidR="00AF2B44" w:rsidRPr="00570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1232">
        <w:rPr>
          <w:rFonts w:ascii="Times New Roman" w:hAnsi="Times New Roman" w:cs="Times New Roman"/>
          <w:sz w:val="24"/>
          <w:szCs w:val="24"/>
        </w:rPr>
        <w:t>=</w:t>
      </w:r>
      <w:r w:rsidR="00AF2B44" w:rsidRPr="00570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12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232">
        <w:rPr>
          <w:rFonts w:ascii="Times New Roman" w:hAnsi="Times New Roman" w:cs="Times New Roman"/>
          <w:sz w:val="24"/>
          <w:szCs w:val="24"/>
        </w:rPr>
        <w:t>років  визначається за формулою:</w:t>
      </w:r>
    </w:p>
    <w:p w:rsidR="00AF2B44" w:rsidRPr="0057032E" w:rsidRDefault="00B11232" w:rsidP="00AF2B44">
      <w:pPr>
        <w:pStyle w:val="ab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232">
        <w:rPr>
          <w:position w:val="-14"/>
          <w:sz w:val="24"/>
          <w:szCs w:val="24"/>
        </w:rPr>
        <w:object w:dxaOrig="1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20.4pt" o:ole="">
            <v:imagedata r:id="rId9" o:title=""/>
          </v:shape>
          <o:OLEObject Type="Embed" ProgID="Equation.3" ShapeID="_x0000_i1025" DrawAspect="Content" ObjectID="_1455606097" r:id="rId10"/>
        </w:object>
      </w:r>
      <w:r>
        <w:rPr>
          <w:sz w:val="24"/>
          <w:szCs w:val="24"/>
        </w:rPr>
        <w:t xml:space="preserve">     </w:t>
      </w:r>
      <w:r w:rsidRPr="00AF2B44">
        <w:rPr>
          <w:rFonts w:ascii="Times New Roman" w:hAnsi="Times New Roman" w:cs="Times New Roman"/>
          <w:sz w:val="24"/>
          <w:szCs w:val="24"/>
        </w:rPr>
        <w:t xml:space="preserve">отже   </w:t>
      </w:r>
      <w:r w:rsidRPr="00B11232">
        <w:rPr>
          <w:rFonts w:ascii="Times New Roman" w:hAnsi="Times New Roman" w:cs="Times New Roman"/>
          <w:sz w:val="32"/>
          <w:szCs w:val="24"/>
          <w:lang w:val="en-US"/>
        </w:rPr>
        <w:t>C</w:t>
      </w:r>
      <w:r w:rsidRPr="00B11232">
        <w:rPr>
          <w:rFonts w:ascii="Times New Roman" w:hAnsi="Times New Roman" w:cs="Times New Roman"/>
          <w:sz w:val="32"/>
          <w:szCs w:val="24"/>
          <w:vertAlign w:val="subscript"/>
          <w:lang w:val="en-US"/>
        </w:rPr>
        <w:t>t</w:t>
      </w:r>
      <w:r w:rsidRPr="00B11232"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 w:rsidR="009C2DA5">
        <w:rPr>
          <w:rFonts w:ascii="Times New Roman" w:hAnsi="Times New Roman" w:cs="Times New Roman"/>
          <w:sz w:val="24"/>
          <w:szCs w:val="24"/>
        </w:rPr>
        <w:t>140</w:t>
      </w:r>
      <w:r w:rsidRPr="003112B1">
        <w:rPr>
          <w:rFonts w:ascii="Times New Roman" w:hAnsi="Times New Roman" w:cs="Times New Roman"/>
          <w:sz w:val="24"/>
          <w:szCs w:val="24"/>
        </w:rPr>
        <w:t xml:space="preserve"> тис.шт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9C2DA5">
        <w:rPr>
          <w:rFonts w:ascii="Times New Roman" w:hAnsi="Times New Roman" w:cs="Times New Roman"/>
          <w:sz w:val="24"/>
          <w:szCs w:val="24"/>
        </w:rPr>
        <w:t>3,51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2DA5">
        <w:rPr>
          <w:rFonts w:ascii="Times New Roman" w:hAnsi="Times New Roman" w:cs="Times New Roman"/>
          <w:sz w:val="24"/>
          <w:szCs w:val="24"/>
        </w:rPr>
        <w:t xml:space="preserve">тис. </w:t>
      </w:r>
      <w:r>
        <w:rPr>
          <w:rFonts w:ascii="Times New Roman" w:hAnsi="Times New Roman" w:cs="Times New Roman"/>
          <w:sz w:val="24"/>
          <w:szCs w:val="24"/>
        </w:rPr>
        <w:t xml:space="preserve">грн * 7 років = </w:t>
      </w:r>
      <w:r w:rsidR="009C2DA5">
        <w:rPr>
          <w:rFonts w:ascii="Times New Roman" w:hAnsi="Times New Roman" w:cs="Times New Roman"/>
          <w:sz w:val="24"/>
          <w:szCs w:val="24"/>
        </w:rPr>
        <w:t xml:space="preserve">491400000 </w:t>
      </w:r>
      <w:r>
        <w:rPr>
          <w:rFonts w:ascii="Times New Roman" w:hAnsi="Times New Roman" w:cs="Times New Roman"/>
          <w:sz w:val="24"/>
          <w:szCs w:val="24"/>
        </w:rPr>
        <w:t>грн</w:t>
      </w:r>
    </w:p>
    <w:p w:rsidR="00AF2B44" w:rsidRPr="0057032E" w:rsidRDefault="00B11232" w:rsidP="00AF2B44">
      <w:pPr>
        <w:pStyle w:val="ab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F2B44">
        <w:rPr>
          <w:rFonts w:ascii="Times New Roman" w:hAnsi="Times New Roman" w:cs="Times New Roman"/>
          <w:sz w:val="24"/>
          <w:szCs w:val="24"/>
        </w:rPr>
        <w:t xml:space="preserve">   </w:t>
      </w:r>
      <w:r w:rsidR="00AF2B44" w:rsidRPr="00AF2B44">
        <w:rPr>
          <w:rFonts w:ascii="Times New Roman" w:hAnsi="Times New Roman" w:cs="Times New Roman"/>
          <w:sz w:val="24"/>
          <w:szCs w:val="24"/>
        </w:rPr>
        <w:t>Поточна вартість ліцензії дорівнює сумі виплат роялті  протягом терміну дії ліцензії і розраховується за формулою:</w:t>
      </w:r>
      <w:r w:rsidR="00AF2B44" w:rsidRPr="0057032E">
        <w:rPr>
          <w:rFonts w:ascii="Times New Roman" w:hAnsi="Times New Roman" w:cs="Times New Roman"/>
          <w:sz w:val="24"/>
          <w:szCs w:val="24"/>
        </w:rPr>
        <w:t xml:space="preserve">   </w:t>
      </w:r>
      <w:r w:rsidR="00AF2B44" w:rsidRPr="009C5472">
        <w:rPr>
          <w:position w:val="-28"/>
          <w:sz w:val="28"/>
          <w:szCs w:val="28"/>
        </w:rPr>
        <w:object w:dxaOrig="1640" w:dyaOrig="720">
          <v:shape id="_x0000_i1026" type="#_x0000_t75" style="width:81.5pt;height:36.7pt" o:ole="">
            <v:imagedata r:id="rId11" o:title=""/>
          </v:shape>
          <o:OLEObject Type="Embed" ProgID="Equation.3" ShapeID="_x0000_i1026" DrawAspect="Content" ObjectID="_1455606098" r:id="rId12"/>
        </w:object>
      </w:r>
      <w:r w:rsidR="00AF2B44" w:rsidRPr="009C5472">
        <w:rPr>
          <w:sz w:val="28"/>
          <w:szCs w:val="28"/>
        </w:rPr>
        <w:t xml:space="preserve"> </w:t>
      </w:r>
      <w:r w:rsidR="00AF2B44">
        <w:rPr>
          <w:sz w:val="28"/>
          <w:szCs w:val="28"/>
        </w:rPr>
        <w:tab/>
      </w:r>
      <w:r w:rsidR="00AF2B44">
        <w:rPr>
          <w:sz w:val="28"/>
          <w:szCs w:val="28"/>
        </w:rPr>
        <w:tab/>
      </w:r>
    </w:p>
    <w:p w:rsidR="00D50C74" w:rsidRPr="00D50C74" w:rsidRDefault="00AF2B44" w:rsidP="00AF2B44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F2B44">
        <w:rPr>
          <w:rFonts w:ascii="Times New Roman" w:hAnsi="Times New Roman" w:cs="Times New Roman"/>
          <w:sz w:val="24"/>
          <w:szCs w:val="24"/>
        </w:rPr>
        <w:t xml:space="preserve">отже </w:t>
      </w:r>
      <w:r w:rsidRPr="00AF2B44">
        <w:rPr>
          <w:rFonts w:ascii="Times New Roman" w:hAnsi="Times New Roman" w:cs="Times New Roman"/>
          <w:sz w:val="24"/>
          <w:szCs w:val="24"/>
        </w:rPr>
        <w:tab/>
        <w:t xml:space="preserve">PV = </w:t>
      </w:r>
      <w:r w:rsidR="009C2DA5">
        <w:rPr>
          <w:rFonts w:ascii="Times New Roman" w:hAnsi="Times New Roman" w:cs="Times New Roman"/>
          <w:sz w:val="24"/>
          <w:szCs w:val="24"/>
        </w:rPr>
        <w:t xml:space="preserve">491400000 </w:t>
      </w:r>
      <w:r>
        <w:rPr>
          <w:rFonts w:ascii="Times New Roman" w:hAnsi="Times New Roman" w:cs="Times New Roman"/>
          <w:sz w:val="24"/>
          <w:szCs w:val="24"/>
        </w:rPr>
        <w:t>грн</w:t>
      </w:r>
      <w:r w:rsidRPr="00AF2B44">
        <w:rPr>
          <w:rFonts w:ascii="Times New Roman" w:hAnsi="Times New Roman" w:cs="Times New Roman"/>
          <w:sz w:val="24"/>
          <w:szCs w:val="24"/>
        </w:rPr>
        <w:t xml:space="preserve"> * (5/100) = </w:t>
      </w:r>
      <w:r w:rsidRPr="0057032E">
        <w:rPr>
          <w:rFonts w:ascii="Times New Roman" w:hAnsi="Times New Roman" w:cs="Times New Roman"/>
          <w:sz w:val="24"/>
          <w:szCs w:val="24"/>
        </w:rPr>
        <w:t xml:space="preserve"> </w:t>
      </w:r>
      <w:r w:rsidR="009C2DA5">
        <w:rPr>
          <w:rFonts w:ascii="Times New Roman" w:hAnsi="Times New Roman" w:cs="Times New Roman"/>
          <w:sz w:val="24"/>
          <w:szCs w:val="24"/>
        </w:rPr>
        <w:t xml:space="preserve">24570000 </w:t>
      </w:r>
      <w:r>
        <w:rPr>
          <w:rFonts w:ascii="Times New Roman" w:hAnsi="Times New Roman" w:cs="Times New Roman"/>
          <w:sz w:val="24"/>
          <w:szCs w:val="24"/>
        </w:rPr>
        <w:t>грн</w:t>
      </w:r>
      <w:r w:rsidR="00D50C74">
        <w:rPr>
          <w:rFonts w:ascii="Times New Roman" w:hAnsi="Times New Roman" w:cs="Times New Roman"/>
          <w:sz w:val="24"/>
          <w:szCs w:val="24"/>
        </w:rPr>
        <w:t>, за умови що величина ставки роялті</w:t>
      </w:r>
      <w:r w:rsidR="00D50C74" w:rsidRPr="0057032E">
        <w:rPr>
          <w:sz w:val="28"/>
          <w:szCs w:val="28"/>
          <w:lang w:eastAsia="en-US"/>
        </w:rPr>
        <w:t xml:space="preserve"> </w:t>
      </w:r>
      <w:r w:rsidR="00D50C74" w:rsidRPr="003112B1">
        <w:rPr>
          <w:sz w:val="28"/>
          <w:szCs w:val="28"/>
          <w:lang w:val="en-US" w:eastAsia="en-US"/>
        </w:rPr>
        <w:t>R</w:t>
      </w:r>
      <w:r w:rsidR="00D50C74" w:rsidRPr="003112B1">
        <w:rPr>
          <w:sz w:val="28"/>
          <w:szCs w:val="28"/>
          <w:vertAlign w:val="subscript"/>
          <w:lang w:val="en-US"/>
        </w:rPr>
        <w:t>t</w:t>
      </w:r>
      <w:r w:rsidR="00D50C74">
        <w:rPr>
          <w:rFonts w:ascii="Times New Roman" w:hAnsi="Times New Roman" w:cs="Times New Roman"/>
          <w:sz w:val="24"/>
          <w:szCs w:val="24"/>
        </w:rPr>
        <w:t xml:space="preserve"> залишається незмінною протягом періоду дії ліцензії </w:t>
      </w:r>
      <w:r w:rsidR="00D50C7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0C74">
        <w:rPr>
          <w:rFonts w:ascii="Times New Roman" w:hAnsi="Times New Roman" w:cs="Times New Roman"/>
          <w:sz w:val="24"/>
          <w:szCs w:val="24"/>
        </w:rPr>
        <w:t>.</w:t>
      </w:r>
    </w:p>
    <w:p w:rsidR="00D50C74" w:rsidRDefault="00D50C74" w:rsidP="00D50C74">
      <w:pPr>
        <w:pStyle w:val="ab"/>
        <w:shd w:val="clear" w:color="auto" w:fill="FFFFFF" w:themeFill="background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50C74" w:rsidRDefault="00AF2B44" w:rsidP="00D50C74">
      <w:pPr>
        <w:pStyle w:val="ab"/>
        <w:shd w:val="clear" w:color="auto" w:fill="FFFFFF" w:themeFill="background1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Відповідь</w:t>
      </w:r>
      <w:r w:rsidRPr="00703C04">
        <w:rPr>
          <w:rFonts w:ascii="Times New Roman" w:hAnsi="Times New Roman" w:cs="Times New Roman"/>
          <w:b/>
          <w:sz w:val="24"/>
          <w:szCs w:val="24"/>
        </w:rPr>
        <w:t>:</w:t>
      </w:r>
      <w:r w:rsidR="00D50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C74" w:rsidRPr="00703C04">
        <w:rPr>
          <w:rFonts w:ascii="Times New Roman" w:hAnsi="Times New Roman" w:cs="Times New Roman"/>
          <w:sz w:val="24"/>
          <w:szCs w:val="24"/>
        </w:rPr>
        <w:t>П</w:t>
      </w:r>
      <w:r w:rsidR="00D50C74">
        <w:rPr>
          <w:rFonts w:ascii="Times New Roman" w:hAnsi="Times New Roman" w:cs="Times New Roman"/>
          <w:sz w:val="24"/>
          <w:szCs w:val="24"/>
        </w:rPr>
        <w:t>оточна</w:t>
      </w:r>
      <w:r w:rsidR="00D50C74" w:rsidRPr="00703C04">
        <w:rPr>
          <w:rFonts w:ascii="Times New Roman" w:hAnsi="Times New Roman" w:cs="Times New Roman"/>
          <w:sz w:val="24"/>
          <w:szCs w:val="24"/>
        </w:rPr>
        <w:t xml:space="preserve"> </w:t>
      </w:r>
      <w:r w:rsidR="00D50C74" w:rsidRPr="00703C04">
        <w:rPr>
          <w:rFonts w:ascii="Times New Roman" w:hAnsi="Times New Roman" w:cs="Times New Roman"/>
          <w:sz w:val="24"/>
          <w:szCs w:val="24"/>
          <w:lang w:eastAsia="en-US"/>
        </w:rPr>
        <w:t>вартість</w:t>
      </w:r>
      <w:r w:rsidR="00D50C74" w:rsidRPr="00703C04">
        <w:rPr>
          <w:rFonts w:ascii="Times New Roman" w:hAnsi="Times New Roman" w:cs="Times New Roman"/>
          <w:sz w:val="24"/>
          <w:szCs w:val="24"/>
        </w:rPr>
        <w:t xml:space="preserve"> патентної ліцензії</w:t>
      </w:r>
      <w:r w:rsidR="00D50C74">
        <w:rPr>
          <w:rFonts w:ascii="Times New Roman" w:hAnsi="Times New Roman" w:cs="Times New Roman"/>
          <w:sz w:val="24"/>
          <w:szCs w:val="24"/>
        </w:rPr>
        <w:t xml:space="preserve"> (</w:t>
      </w:r>
      <w:r w:rsidR="00D50C74">
        <w:rPr>
          <w:rFonts w:ascii="Times New Roman" w:hAnsi="Times New Roman" w:cs="Times New Roman"/>
          <w:sz w:val="24"/>
          <w:szCs w:val="24"/>
          <w:lang w:val="en-US"/>
        </w:rPr>
        <w:t>PV</w:t>
      </w:r>
      <w:r w:rsidR="00D50C74">
        <w:rPr>
          <w:rFonts w:ascii="Times New Roman" w:hAnsi="Times New Roman" w:cs="Times New Roman"/>
          <w:sz w:val="24"/>
          <w:szCs w:val="24"/>
        </w:rPr>
        <w:t>)</w:t>
      </w:r>
      <w:r w:rsidR="00D50C74" w:rsidRPr="0057032E">
        <w:rPr>
          <w:rFonts w:ascii="Times New Roman" w:hAnsi="Times New Roman" w:cs="Times New Roman"/>
          <w:sz w:val="24"/>
          <w:szCs w:val="24"/>
        </w:rPr>
        <w:t xml:space="preserve"> </w:t>
      </w:r>
      <w:r w:rsidR="00D50C74">
        <w:rPr>
          <w:rFonts w:ascii="Times New Roman" w:hAnsi="Times New Roman" w:cs="Times New Roman"/>
          <w:sz w:val="24"/>
          <w:szCs w:val="24"/>
        </w:rPr>
        <w:t xml:space="preserve">= </w:t>
      </w:r>
      <w:r w:rsidR="009C2DA5">
        <w:rPr>
          <w:rFonts w:ascii="Times New Roman" w:hAnsi="Times New Roman" w:cs="Times New Roman"/>
          <w:sz w:val="24"/>
          <w:szCs w:val="24"/>
        </w:rPr>
        <w:t>24570 тис. грн..</w:t>
      </w:r>
    </w:p>
    <w:p w:rsidR="00AF2B44" w:rsidRDefault="00AF2B44" w:rsidP="00AF2B44">
      <w:pPr>
        <w:pStyle w:val="ab"/>
        <w:shd w:val="clear" w:color="auto" w:fill="FFFFFF" w:themeFill="background1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1232" w:rsidRDefault="00B11232" w:rsidP="00B11232">
      <w:pPr>
        <w:pStyle w:val="ab"/>
        <w:spacing w:line="360" w:lineRule="auto"/>
        <w:ind w:left="567"/>
        <w:jc w:val="both"/>
      </w:pPr>
    </w:p>
    <w:p w:rsidR="00703C04" w:rsidRPr="00703C04" w:rsidRDefault="00703C04" w:rsidP="00703C04">
      <w:pPr>
        <w:pStyle w:val="ab"/>
        <w:shd w:val="clear" w:color="auto" w:fill="FFFFFF" w:themeFill="background1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03C04" w:rsidRPr="00703C04" w:rsidRDefault="00703C04" w:rsidP="00703C04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3112B1" w:rsidRPr="003112B1" w:rsidRDefault="003112B1" w:rsidP="003112B1">
      <w:pPr>
        <w:shd w:val="clear" w:color="auto" w:fill="FFFFFF" w:themeFill="background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112B1" w:rsidRPr="003112B1" w:rsidRDefault="003112B1" w:rsidP="003112B1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12B1" w:rsidRDefault="003112B1" w:rsidP="003112B1">
      <w:pPr>
        <w:pStyle w:val="ab"/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:rsidR="00F01169" w:rsidRDefault="00F01169" w:rsidP="00F01169">
      <w:pPr>
        <w:ind w:left="1276" w:hanging="127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ВИСНОВКИ</w:t>
      </w: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11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результаті виконання цієї контрольної роботи ми ознайомились з основними поняттями з курсу "Інтелектуальна власність", вивчили випадки виникнення прав інтелектуальної власності та нормативно-правових актів, що регламентують захист цих прав. Оволоділи знаннями щодо випадків набуття та захисту прав інтелектуальної власності. Вивчили економічні характеристики об’єктів права інтелектуальної власності.</w:t>
      </w:r>
    </w:p>
    <w:p w:rsidR="003A7717" w:rsidRDefault="003A7717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01169" w:rsidRDefault="00F01169" w:rsidP="003A7717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DD6" w:rsidRDefault="009C0DD6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DD6" w:rsidRDefault="003A7717" w:rsidP="002F389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C0DD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Список використаної літератури</w:t>
      </w:r>
      <w:bookmarkStart w:id="0" w:name="_GoBack"/>
      <w:bookmarkEnd w:id="0"/>
    </w:p>
    <w:p w:rsidR="00026671" w:rsidRDefault="00026671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026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Методичні вказівки до виконання контрольної роботи з дисципліни „Інтелектуальна власність” для студентів освітньо-кваліфікаційного рівня „магістр” спеціальності специфічних категорій 8.18010013 „Управління проектами”, спеціалізації „Управління бізнес-проектами” / Укл. Самуляк В.Ю., Калініченко Ю.В., Сорока І.Й. – Львів: ННІПДО НУ „Львівська політехніка” 2011. –24 с.</w:t>
      </w:r>
    </w:p>
    <w:p w:rsidR="003A7717" w:rsidRPr="009C0DD6" w:rsidRDefault="00026671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3A7717" w:rsidRPr="009C0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Підопригора О.А., Підопригора О.О. Право інтелектуальної власності України: Навч. посібник для студентів юрид. вузів і фак. ун-тів. — К.: Юрінком Інтер, 1998. — 336 с.</w:t>
      </w:r>
    </w:p>
    <w:p w:rsidR="003A7717" w:rsidRPr="00026671" w:rsidRDefault="00026671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3</w:t>
      </w:r>
      <w:r w:rsidR="003A7717" w:rsidRPr="009C0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Підопригора О. Проблеми системи законодавства України про інтелектуальну власність // Інтелектуальна власність. — 2000. — №3. — С. 3—14.</w:t>
      </w:r>
    </w:p>
    <w:p w:rsidR="00026671" w:rsidRPr="009C0DD6" w:rsidRDefault="00026671" w:rsidP="0002667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0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26671" w:rsidRPr="00026671" w:rsidRDefault="00026671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Default="003A7717" w:rsidP="002F389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7717" w:rsidRPr="002F389E" w:rsidRDefault="003A7717" w:rsidP="002F389E">
      <w:pPr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sectPr w:rsidR="003A7717" w:rsidRPr="002F389E" w:rsidSect="000E47B0">
      <w:head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7D" w:rsidRDefault="00FC127D" w:rsidP="000E47B0">
      <w:pPr>
        <w:spacing w:after="0" w:line="240" w:lineRule="auto"/>
      </w:pPr>
      <w:r>
        <w:separator/>
      </w:r>
    </w:p>
  </w:endnote>
  <w:endnote w:type="continuationSeparator" w:id="0">
    <w:p w:rsidR="00FC127D" w:rsidRDefault="00FC127D" w:rsidP="000E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7D" w:rsidRDefault="00FC127D" w:rsidP="000E47B0">
      <w:pPr>
        <w:spacing w:after="0" w:line="240" w:lineRule="auto"/>
      </w:pPr>
      <w:r>
        <w:separator/>
      </w:r>
    </w:p>
  </w:footnote>
  <w:footnote w:type="continuationSeparator" w:id="0">
    <w:p w:rsidR="00FC127D" w:rsidRDefault="00FC127D" w:rsidP="000E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13677"/>
      <w:docPartObj>
        <w:docPartGallery w:val="Page Numbers (Top of Page)"/>
        <w:docPartUnique/>
      </w:docPartObj>
    </w:sdtPr>
    <w:sdtEndPr/>
    <w:sdtContent>
      <w:p w:rsidR="000E47B0" w:rsidRDefault="000E7C2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0A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E47B0" w:rsidRDefault="000E47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6A2F"/>
    <w:multiLevelType w:val="hybridMultilevel"/>
    <w:tmpl w:val="D91A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74FFE"/>
    <w:multiLevelType w:val="hybridMultilevel"/>
    <w:tmpl w:val="1EAC14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92488"/>
    <w:multiLevelType w:val="hybridMultilevel"/>
    <w:tmpl w:val="5F3CD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C0BE2"/>
    <w:multiLevelType w:val="hybridMultilevel"/>
    <w:tmpl w:val="7A5A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066C4"/>
    <w:multiLevelType w:val="hybridMultilevel"/>
    <w:tmpl w:val="6EAE8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20467"/>
    <w:multiLevelType w:val="hybridMultilevel"/>
    <w:tmpl w:val="A406F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10C88"/>
    <w:multiLevelType w:val="hybridMultilevel"/>
    <w:tmpl w:val="C998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02984"/>
    <w:multiLevelType w:val="hybridMultilevel"/>
    <w:tmpl w:val="E430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1749D"/>
    <w:multiLevelType w:val="hybridMultilevel"/>
    <w:tmpl w:val="DFAEDAE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651349"/>
    <w:multiLevelType w:val="hybridMultilevel"/>
    <w:tmpl w:val="8B58301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1E13688A"/>
    <w:multiLevelType w:val="hybridMultilevel"/>
    <w:tmpl w:val="403A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47E4A"/>
    <w:multiLevelType w:val="hybridMultilevel"/>
    <w:tmpl w:val="E270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E5FB1"/>
    <w:multiLevelType w:val="hybridMultilevel"/>
    <w:tmpl w:val="4A28796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1F900B3A"/>
    <w:multiLevelType w:val="hybridMultilevel"/>
    <w:tmpl w:val="08EA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20120782"/>
    <w:multiLevelType w:val="multilevel"/>
    <w:tmpl w:val="5FBAE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16" w:hanging="1800"/>
      </w:pPr>
      <w:rPr>
        <w:rFonts w:hint="default"/>
      </w:rPr>
    </w:lvl>
  </w:abstractNum>
  <w:abstractNum w:abstractNumId="15">
    <w:nsid w:val="20B91858"/>
    <w:multiLevelType w:val="hybridMultilevel"/>
    <w:tmpl w:val="F6248CF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20F4610A"/>
    <w:multiLevelType w:val="multilevel"/>
    <w:tmpl w:val="EE1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E90924"/>
    <w:multiLevelType w:val="hybridMultilevel"/>
    <w:tmpl w:val="B8D8D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37691"/>
    <w:multiLevelType w:val="hybridMultilevel"/>
    <w:tmpl w:val="B4B4D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B09309D"/>
    <w:multiLevelType w:val="hybridMultilevel"/>
    <w:tmpl w:val="8E028DB4"/>
    <w:lvl w:ilvl="0" w:tplc="8EBA131C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20">
    <w:nsid w:val="2B8665BE"/>
    <w:multiLevelType w:val="hybridMultilevel"/>
    <w:tmpl w:val="CE122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645C1D"/>
    <w:multiLevelType w:val="hybridMultilevel"/>
    <w:tmpl w:val="91D89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131D6B"/>
    <w:multiLevelType w:val="hybridMultilevel"/>
    <w:tmpl w:val="B4FC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1C4609"/>
    <w:multiLevelType w:val="hybridMultilevel"/>
    <w:tmpl w:val="AFEC7FA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345606E1"/>
    <w:multiLevelType w:val="hybridMultilevel"/>
    <w:tmpl w:val="129E7B7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8526931"/>
    <w:multiLevelType w:val="hybridMultilevel"/>
    <w:tmpl w:val="A5AA1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91766"/>
    <w:multiLevelType w:val="hybridMultilevel"/>
    <w:tmpl w:val="A1A0F82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>
    <w:nsid w:val="4C1E6F8D"/>
    <w:multiLevelType w:val="hybridMultilevel"/>
    <w:tmpl w:val="A9F83D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D1909C5"/>
    <w:multiLevelType w:val="hybridMultilevel"/>
    <w:tmpl w:val="D206A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2701F"/>
    <w:multiLevelType w:val="multilevel"/>
    <w:tmpl w:val="545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1968B5"/>
    <w:multiLevelType w:val="hybridMultilevel"/>
    <w:tmpl w:val="4CDC2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C0D11"/>
    <w:multiLevelType w:val="hybridMultilevel"/>
    <w:tmpl w:val="FC70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A013D"/>
    <w:multiLevelType w:val="hybridMultilevel"/>
    <w:tmpl w:val="A17ED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F2F87"/>
    <w:multiLevelType w:val="hybridMultilevel"/>
    <w:tmpl w:val="2124C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74175C"/>
    <w:multiLevelType w:val="hybridMultilevel"/>
    <w:tmpl w:val="D252097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4E64F5"/>
    <w:multiLevelType w:val="hybridMultilevel"/>
    <w:tmpl w:val="713ED07A"/>
    <w:lvl w:ilvl="0" w:tplc="041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6">
    <w:nsid w:val="756E5287"/>
    <w:multiLevelType w:val="hybridMultilevel"/>
    <w:tmpl w:val="8E028DB4"/>
    <w:lvl w:ilvl="0" w:tplc="8EBA131C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7">
    <w:nsid w:val="774A1390"/>
    <w:multiLevelType w:val="hybridMultilevel"/>
    <w:tmpl w:val="56067A80"/>
    <w:lvl w:ilvl="0" w:tplc="ABA8C5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E4D18B8"/>
    <w:multiLevelType w:val="hybridMultilevel"/>
    <w:tmpl w:val="22CC7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4"/>
  </w:num>
  <w:num w:numId="4">
    <w:abstractNumId w:val="27"/>
  </w:num>
  <w:num w:numId="5">
    <w:abstractNumId w:val="37"/>
  </w:num>
  <w:num w:numId="6">
    <w:abstractNumId w:val="30"/>
  </w:num>
  <w:num w:numId="7">
    <w:abstractNumId w:val="34"/>
  </w:num>
  <w:num w:numId="8">
    <w:abstractNumId w:val="1"/>
  </w:num>
  <w:num w:numId="9">
    <w:abstractNumId w:val="17"/>
  </w:num>
  <w:num w:numId="10">
    <w:abstractNumId w:val="8"/>
  </w:num>
  <w:num w:numId="11">
    <w:abstractNumId w:val="38"/>
  </w:num>
  <w:num w:numId="12">
    <w:abstractNumId w:val="20"/>
  </w:num>
  <w:num w:numId="13">
    <w:abstractNumId w:val="19"/>
  </w:num>
  <w:num w:numId="14">
    <w:abstractNumId w:val="35"/>
  </w:num>
  <w:num w:numId="15">
    <w:abstractNumId w:val="13"/>
  </w:num>
  <w:num w:numId="16">
    <w:abstractNumId w:val="12"/>
  </w:num>
  <w:num w:numId="17">
    <w:abstractNumId w:val="26"/>
  </w:num>
  <w:num w:numId="18">
    <w:abstractNumId w:val="15"/>
  </w:num>
  <w:num w:numId="19">
    <w:abstractNumId w:val="23"/>
  </w:num>
  <w:num w:numId="20">
    <w:abstractNumId w:val="2"/>
  </w:num>
  <w:num w:numId="21">
    <w:abstractNumId w:val="6"/>
  </w:num>
  <w:num w:numId="22">
    <w:abstractNumId w:val="9"/>
  </w:num>
  <w:num w:numId="23">
    <w:abstractNumId w:val="25"/>
  </w:num>
  <w:num w:numId="24">
    <w:abstractNumId w:val="11"/>
  </w:num>
  <w:num w:numId="25">
    <w:abstractNumId w:val="21"/>
  </w:num>
  <w:num w:numId="26">
    <w:abstractNumId w:val="32"/>
  </w:num>
  <w:num w:numId="27">
    <w:abstractNumId w:val="0"/>
  </w:num>
  <w:num w:numId="28">
    <w:abstractNumId w:val="22"/>
  </w:num>
  <w:num w:numId="29">
    <w:abstractNumId w:val="36"/>
  </w:num>
  <w:num w:numId="30">
    <w:abstractNumId w:val="3"/>
  </w:num>
  <w:num w:numId="31">
    <w:abstractNumId w:val="10"/>
  </w:num>
  <w:num w:numId="32">
    <w:abstractNumId w:val="18"/>
  </w:num>
  <w:num w:numId="33">
    <w:abstractNumId w:val="31"/>
  </w:num>
  <w:num w:numId="34">
    <w:abstractNumId w:val="4"/>
  </w:num>
  <w:num w:numId="35">
    <w:abstractNumId w:val="33"/>
  </w:num>
  <w:num w:numId="36">
    <w:abstractNumId w:val="7"/>
  </w:num>
  <w:num w:numId="37">
    <w:abstractNumId w:val="28"/>
  </w:num>
  <w:num w:numId="38">
    <w:abstractNumId w:val="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4D6"/>
    <w:rsid w:val="00013A97"/>
    <w:rsid w:val="00024AFF"/>
    <w:rsid w:val="00026671"/>
    <w:rsid w:val="00056F14"/>
    <w:rsid w:val="00083DE3"/>
    <w:rsid w:val="000B2037"/>
    <w:rsid w:val="000D1641"/>
    <w:rsid w:val="000E47B0"/>
    <w:rsid w:val="000E4BAB"/>
    <w:rsid w:val="000E7C2C"/>
    <w:rsid w:val="0016523F"/>
    <w:rsid w:val="00171E9F"/>
    <w:rsid w:val="001730A7"/>
    <w:rsid w:val="001A6BB3"/>
    <w:rsid w:val="001F53FA"/>
    <w:rsid w:val="00200EC2"/>
    <w:rsid w:val="002B4197"/>
    <w:rsid w:val="002C0055"/>
    <w:rsid w:val="002E54D6"/>
    <w:rsid w:val="002F389E"/>
    <w:rsid w:val="003112B1"/>
    <w:rsid w:val="00364B79"/>
    <w:rsid w:val="003A0DDC"/>
    <w:rsid w:val="003A7717"/>
    <w:rsid w:val="003D75D9"/>
    <w:rsid w:val="00401972"/>
    <w:rsid w:val="00405902"/>
    <w:rsid w:val="004842E7"/>
    <w:rsid w:val="00496E7A"/>
    <w:rsid w:val="00516886"/>
    <w:rsid w:val="005340C1"/>
    <w:rsid w:val="0057032E"/>
    <w:rsid w:val="005C23A9"/>
    <w:rsid w:val="005F6D1D"/>
    <w:rsid w:val="006F2860"/>
    <w:rsid w:val="00703C04"/>
    <w:rsid w:val="00703EE5"/>
    <w:rsid w:val="00704187"/>
    <w:rsid w:val="0072166D"/>
    <w:rsid w:val="0074169D"/>
    <w:rsid w:val="007435B4"/>
    <w:rsid w:val="007743E2"/>
    <w:rsid w:val="007A1BF5"/>
    <w:rsid w:val="00881C94"/>
    <w:rsid w:val="00912392"/>
    <w:rsid w:val="00914636"/>
    <w:rsid w:val="00916342"/>
    <w:rsid w:val="00973639"/>
    <w:rsid w:val="00975EBA"/>
    <w:rsid w:val="009A499C"/>
    <w:rsid w:val="009B1B42"/>
    <w:rsid w:val="009B5B09"/>
    <w:rsid w:val="009C0DD6"/>
    <w:rsid w:val="009C2DA5"/>
    <w:rsid w:val="009D25F1"/>
    <w:rsid w:val="00A378A4"/>
    <w:rsid w:val="00A67DE7"/>
    <w:rsid w:val="00A76EB3"/>
    <w:rsid w:val="00AA71A9"/>
    <w:rsid w:val="00AF2B44"/>
    <w:rsid w:val="00B11232"/>
    <w:rsid w:val="00BA4712"/>
    <w:rsid w:val="00C42A41"/>
    <w:rsid w:val="00CC102D"/>
    <w:rsid w:val="00D40D0A"/>
    <w:rsid w:val="00D50C74"/>
    <w:rsid w:val="00D623C3"/>
    <w:rsid w:val="00D628B9"/>
    <w:rsid w:val="00D80993"/>
    <w:rsid w:val="00D820EC"/>
    <w:rsid w:val="00DB3426"/>
    <w:rsid w:val="00DF373A"/>
    <w:rsid w:val="00E07FE7"/>
    <w:rsid w:val="00E5688F"/>
    <w:rsid w:val="00E90252"/>
    <w:rsid w:val="00EB1431"/>
    <w:rsid w:val="00F01169"/>
    <w:rsid w:val="00F1594D"/>
    <w:rsid w:val="00F7342B"/>
    <w:rsid w:val="00F92EC9"/>
    <w:rsid w:val="00FB4FA6"/>
    <w:rsid w:val="00FC127D"/>
    <w:rsid w:val="00FC6235"/>
    <w:rsid w:val="00FE4E49"/>
    <w:rsid w:val="00F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AB"/>
  </w:style>
  <w:style w:type="paragraph" w:styleId="1">
    <w:name w:val="heading 1"/>
    <w:basedOn w:val="a"/>
    <w:next w:val="a"/>
    <w:link w:val="10"/>
    <w:qFormat/>
    <w:rsid w:val="002E54D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9">
    <w:name w:val="heading 9"/>
    <w:basedOn w:val="a"/>
    <w:next w:val="a"/>
    <w:link w:val="90"/>
    <w:qFormat/>
    <w:rsid w:val="002E54D6"/>
    <w:p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54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2E54D6"/>
    <w:rPr>
      <w:rFonts w:ascii="Arial" w:eastAsia="Times New Roman" w:hAnsi="Arial" w:cs="Arial"/>
      <w:lang w:val="en-US" w:eastAsia="en-US"/>
    </w:rPr>
  </w:style>
  <w:style w:type="paragraph" w:customStyle="1" w:styleId="21">
    <w:name w:val="Основний текст 21"/>
    <w:basedOn w:val="a"/>
    <w:rsid w:val="002E54D6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styleId="a3">
    <w:name w:val="Balloon Text"/>
    <w:basedOn w:val="a"/>
    <w:link w:val="a4"/>
    <w:uiPriority w:val="99"/>
    <w:semiHidden/>
    <w:unhideWhenUsed/>
    <w:rsid w:val="002E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4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E47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7B0"/>
  </w:style>
  <w:style w:type="paragraph" w:styleId="a7">
    <w:name w:val="footer"/>
    <w:basedOn w:val="a"/>
    <w:link w:val="a8"/>
    <w:uiPriority w:val="99"/>
    <w:semiHidden/>
    <w:unhideWhenUsed/>
    <w:rsid w:val="000E47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E47B0"/>
  </w:style>
  <w:style w:type="paragraph" w:styleId="a9">
    <w:name w:val="Normal (Web)"/>
    <w:basedOn w:val="a"/>
    <w:uiPriority w:val="99"/>
    <w:unhideWhenUsed/>
    <w:rsid w:val="003A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3A7717"/>
    <w:rPr>
      <w:b/>
      <w:bCs/>
    </w:rPr>
  </w:style>
  <w:style w:type="character" w:customStyle="1" w:styleId="apple-converted-space">
    <w:name w:val="apple-converted-space"/>
    <w:basedOn w:val="a0"/>
    <w:rsid w:val="003A7717"/>
  </w:style>
  <w:style w:type="paragraph" w:styleId="ab">
    <w:name w:val="List Paragraph"/>
    <w:basedOn w:val="a"/>
    <w:uiPriority w:val="34"/>
    <w:qFormat/>
    <w:rsid w:val="00BA471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F2B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15</Pages>
  <Words>4891</Words>
  <Characters>27884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58</cp:revision>
  <dcterms:created xsi:type="dcterms:W3CDTF">2013-12-06T16:08:00Z</dcterms:created>
  <dcterms:modified xsi:type="dcterms:W3CDTF">2014-03-06T08:15:00Z</dcterms:modified>
</cp:coreProperties>
</file>