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0"/>
        </w:rPr>
        <w:t>面向共享单车的北斗可信电子围栏方案——多径条件下的违停误判抑制与数字孪生验证</w:t>
      </w:r>
    </w:p>
    <w:p>
      <w:pPr>
        <w:spacing w:line="240" w:lineRule="auto"/>
        <w:jc w:val="left"/>
      </w:pPr>
      <w:r>
        <w:rPr>
          <w:rFonts w:ascii="Times New Roman" w:hAnsi="Times New Roman" w:eastAsia="宋体"/>
          <w:b w:val="0"/>
          <w:sz w:val="24"/>
        </w:rPr>
      </w:r>
    </w:p>
    <w:p>
      <w:pPr>
        <w:spacing w:line="240" w:lineRule="auto"/>
        <w:jc w:val="left"/>
      </w:pPr>
      <w:r>
        <w:rPr>
          <w:rFonts w:ascii="Times New Roman" w:hAnsi="Times New Roman" w:eastAsia="宋体"/>
          <w:b w:val="0"/>
          <w:sz w:val="24"/>
        </w:rPr>
      </w:r>
    </w:p>
    <w:p>
      <w:pPr>
        <w:spacing w:line="240" w:lineRule="auto"/>
        <w:jc w:val="left"/>
      </w:pPr>
      <w:r>
        <w:rPr>
          <w:rFonts w:ascii="Times New Roman" w:hAnsi="Times New Roman" w:eastAsia="宋体"/>
          <w:b w:val="0"/>
          <w:sz w:val="24"/>
        </w:rPr>
        <w:t>【摘要】共享单车电子围栏已广泛用于规范停放，但城市楼宇间多径与电磁干扰会使北斗解算坐标在无明显异常时漂移出停车框，造成“车停在停车点却被判违停扣费”的用户体验与运营纠纷。现有围栏算法多直接对解算点做多边形包含判断，不评估该点是否可信。本方案提出“可信电子围栏”：在围栏判定前引入定位完好性三态——可信时判定框内合规/框外违停；不可信（可疑或拒止）时输出“不扣费、待复核”，避免误扣。验证采用数字孪生测试集注入，不依赖射频前端与外设，可复现清洁、城市多径、多径复合慢拉欺骗与局部拒止场景。仿真结果表明：城市多径场景下，旧逻辑误扣费率约84%，本方案降至约11%；多径+欺骗场景旧逻辑约74%，本方案降至0%。在此基础上提出增强层PLTG：以虚警预算标定的χ²完好性检验与水平保护级取代经验阈值，利用锁车静止先验做窗口联合解算把“不扣费待定”转为可标定的延迟定案（实测3秒），并把围栏几何本身作为对偶假设检验的两侧，使扣费结论可举证；GNSS不可判时分级降级到与卫星无关的路侧锚点测距。在10个静止停车场景上，PLTG+锚点实现误扣率0%、漏判违停0%、计费停摆率由44.0%降至2.6%（自动判决率97.4%），期望业务代价降至原方案的1/22。方案附围栏俯视、扣费时序与误扣率对比等证据图，可直接用于答辩演示。硬件上以MCU/模组为量产主路径，并在Zynq处理系统上完成同源测试集的可选批评估验证，体现规则与载体解耦，避免“为芯片而芯片”。</w:t>
      </w:r>
    </w:p>
    <w:p>
      <w:pPr>
        <w:spacing w:line="240" w:lineRule="auto"/>
        <w:jc w:val="left"/>
      </w:pPr>
      <w:r>
        <w:rPr>
          <w:rFonts w:ascii="Times New Roman" w:hAnsi="Times New Roman" w:eastAsia="宋体"/>
          <w:b/>
          <w:sz w:val="24"/>
        </w:rPr>
        <w:t>【关键词】北斗卫星导航；共享单车；电子围栏；多径干扰；完好性；保护级；数字孪生</w:t>
      </w:r>
    </w:p>
    <w:p>
      <w:pPr>
        <w:spacing w:line="240" w:lineRule="auto"/>
        <w:jc w:val="left"/>
      </w:pPr>
      <w:r>
        <w:rPr>
          <w:rFonts w:ascii="Times New Roman" w:hAnsi="Times New Roman" w:eastAsia="宋体"/>
          <w:b w:val="0"/>
          <w:sz w:val="24"/>
        </w:rPr>
      </w:r>
    </w:p>
    <w:p>
      <w:pPr>
        <w:spacing w:line="240" w:lineRule="auto"/>
        <w:jc w:val="left"/>
      </w:pPr>
      <w:r>
        <w:rPr>
          <w:rFonts w:ascii="Times New Roman" w:hAnsi="Times New Roman" w:eastAsia="宋体"/>
          <w:b w:val="0"/>
          <w:sz w:val="24"/>
        </w:rPr>
        <w:t>【Abstract】Electronic fences are widely used for shared bikes, yet urban multipath can drift BeiDou solutions outside the parking polygon and cause unfair parking fines. Legacy fences judge inclusion of the estimated point without checking whether that point is trustworthy. This proposal presents a trusted electronic fence with three integrity states: when trusted, decide in/out; when untrusted, hold the fee for manual review. Digital-twin injection validates clean, urban multipath, multipath plus slow-pull spoofing, and partial denial without RF front-ends. Results show false-fee rates drop from about 84% to 11% under urban multipath, and from 74% to 0% under compound interference. Building on this, an enhancement layer (PLTG) replaces empirical thresholds with budget-calibrated statistics: a chi-square integrity test, a horizontal protection level, and a dual-hypothesis test that treats the fence polygon itself as competing position constraints. The parked-bike zero-velocity prior is exploited by a windowed joint solver that turns no-charge-hold into a calibrable decision latency (3 s measured), and a roadside ranging fallback downgrades gracefully when GNSS alone cannot decide. Over ten static parking scenarios PLTG with anchors reaches 0% false fees, 0% missed violations and a 2.6% hold rate (97.4% auto-decisions), cutting the expected business cost to 1/22 of the gated baseline. Evidence figures and a Zynq edge architecture support prototype deployment on smart locks or operator terminals.</w:t>
      </w:r>
    </w:p>
    <w:p>
      <w:pPr>
        <w:spacing w:line="240" w:lineRule="auto"/>
        <w:jc w:val="left"/>
      </w:pPr>
      <w:r>
        <w:rPr>
          <w:rFonts w:ascii="Times New Roman" w:hAnsi="Times New Roman" w:eastAsia="宋体"/>
          <w:b/>
          <w:sz w:val="24"/>
        </w:rPr>
        <w:t>【Key words】BeiDou; shared mobility; electronic fence; multipath; integrity; protection level; digital twin</w:t>
      </w:r>
    </w:p>
    <w:p>
      <w:pPr>
        <w:spacing w:line="240" w:lineRule="auto"/>
        <w:jc w:val="left"/>
      </w:pPr>
      <w:r>
        <w:rPr>
          <w:rFonts w:ascii="Times New Roman" w:hAnsi="Times New Roman" w:eastAsia="宋体"/>
          <w:b w:val="0"/>
          <w:sz w:val="24"/>
        </w:rPr>
      </w:r>
    </w:p>
    <w:p>
      <w:pPr>
        <w:spacing w:line="240" w:lineRule="auto"/>
        <w:jc w:val="left"/>
      </w:pPr>
      <w:r>
        <w:rPr>
          <w:rFonts w:ascii="Times New Roman" w:hAnsi="Times New Roman" w:eastAsia="黑体"/>
          <w:b/>
          <w:sz w:val="24"/>
        </w:rPr>
        <w:t>一、国内外发展现状（项目相关技术）</w:t>
      </w:r>
    </w:p>
    <w:p>
      <w:pPr>
        <w:spacing w:line="240" w:lineRule="auto"/>
        <w:ind w:firstLine="480"/>
        <w:jc w:val="left"/>
      </w:pPr>
      <w:r>
        <w:rPr>
          <w:rFonts w:ascii="Times New Roman" w:hAnsi="Times New Roman" w:eastAsia="宋体"/>
          <w:b w:val="0"/>
          <w:sz w:val="24"/>
        </w:rPr>
        <w:t>共享单车解决了“最后一公里”出行，乱停乱放则影响市容与交通秩序。电子围栏通过卫星定位判断车辆是否停入指定区域，并与调度费、信用分挂钩，已成为行业标配。国内主流运营平台普遍采用“解算坐标+多边形包含”策略，在开阔环境下效果良好。然而地铁口、商圈、城中村等热点停车区高楼密集，北斗信号多径效应显著，解算点可能被“拉出”停车框，造成用户被误扣调度费，引发投诉与监管争议。国外在接收机自主完好性监测（RAIM）、导航欺骗检测方面研究深入，强调“位置是否可信”而不仅是“位置是多少”；数字孪生与场景库方法被用于可复现的导航算法评估。</w:t>
      </w:r>
    </w:p>
    <w:p>
      <w:pPr>
        <w:spacing w:line="240" w:lineRule="auto"/>
        <w:ind w:firstLine="480"/>
        <w:jc w:val="left"/>
      </w:pPr>
      <w:r>
        <w:rPr>
          <w:rFonts w:ascii="Times New Roman" w:hAnsi="Times New Roman" w:eastAsia="黑体"/>
          <w:b/>
          <w:sz w:val="24"/>
        </w:rPr>
        <w:t>1.1 国内现状分析</w:t>
      </w:r>
    </w:p>
    <w:p>
      <w:pPr>
        <w:spacing w:line="240" w:lineRule="auto"/>
        <w:ind w:firstLine="480"/>
        <w:jc w:val="left"/>
      </w:pPr>
      <w:r>
        <w:rPr>
          <w:rFonts w:ascii="Times New Roman" w:hAnsi="Times New Roman" w:eastAsia="宋体"/>
          <w:b w:val="0"/>
          <w:sz w:val="24"/>
        </w:rPr>
        <w:t>国内电子围栏工程化程度高，但多数实现缺少定位可信度评估：围栏边界常在1–3米量级，而城市峡谷伪距误差可达数米至十余米，边界附近误判不可避免。部分方案引入蓝牙信标或地磁辅助，成本与部署密度受限。高校竞赛与科研中，北斗应用多聚焦车辆、无人机与工程装备，针对“两轮出行可信停放”的完整闭环方案相对少见。湖南省大学生智能导航科技创新大赛科技创意类优秀作品均强调明确业务场景与可演示闭环，如应急车道监督、智能红绿灯等，本选题延续“智能导航+民生场景”路径。</w:t>
      </w:r>
    </w:p>
    <w:p>
      <w:pPr>
        <w:spacing w:line="240" w:lineRule="auto"/>
        <w:ind w:firstLine="480"/>
        <w:jc w:val="left"/>
      </w:pPr>
      <w:r>
        <w:rPr>
          <w:rFonts w:ascii="Times New Roman" w:hAnsi="Times New Roman" w:eastAsia="黑体"/>
          <w:b/>
          <w:sz w:val="24"/>
        </w:rPr>
        <w:t>1.2 国外现状分析</w:t>
      </w:r>
    </w:p>
    <w:p>
      <w:pPr>
        <w:spacing w:line="240" w:lineRule="auto"/>
        <w:ind w:firstLine="480"/>
        <w:jc w:val="left"/>
      </w:pPr>
      <w:r>
        <w:rPr>
          <w:rFonts w:ascii="Times New Roman" w:hAnsi="Times New Roman" w:eastAsia="宋体"/>
          <w:b w:val="0"/>
          <w:sz w:val="24"/>
        </w:rPr>
        <w:t>国外共享出行与微出行同样面临定位漂移问题，研究侧重多传感器融合与质量指标输出。完好性概念从航空导航向汽车与微出行渗透，核心思想是：在风险超限时拒绝输出或降级服务。可复现评估依赖标准化场景与公开指标（误判率、虚警率、误差分布）。发展趋势是把质量标志直接映射到计费与用户提示，而非仅停留在算法内部。</w:t>
      </w:r>
    </w:p>
    <w:p>
      <w:pPr>
        <w:spacing w:line="240" w:lineRule="auto"/>
        <w:jc w:val="left"/>
      </w:pPr>
      <w:r>
        <w:rPr>
          <w:rFonts w:ascii="Times New Roman" w:hAnsi="Times New Roman" w:eastAsia="黑体"/>
          <w:b/>
          <w:sz w:val="24"/>
        </w:rPr>
        <w:t>二、研究目标</w:t>
      </w:r>
    </w:p>
    <w:p>
      <w:pPr>
        <w:spacing w:line="240" w:lineRule="auto"/>
        <w:ind w:firstLine="480"/>
        <w:jc w:val="left"/>
      </w:pPr>
      <w:r>
        <w:rPr>
          <w:rFonts w:ascii="Times New Roman" w:hAnsi="Times New Roman" w:eastAsia="宋体"/>
          <w:b w:val="0"/>
          <w:sz w:val="24"/>
        </w:rPr>
        <w:t>本项目面向共享单车规范停放，构建“北斗可信电子围栏”方案，目标包括：（1）将定位完好性引入围栏决策，定义合规/违停/不可信不扣费三态业务语义；（2）建立贴边停车+城市多径+慢拉欺骗+局部拒止的数字孪生测试集，不购外设即可复现验证；（3）实现可运行仿真闭环，量化旧逻辑与本方案的误扣费率、漏判率与定位误差；（4）形成答辩级证据图与官方格式方案报告；硬件上以低功耗MCU/模组为量产主路径，并说明在通用边缘SoC（含Zynq处理系统）上可运行同一套规则，作为可选验证而非必要条件。</w:t>
      </w:r>
    </w:p>
    <w:p>
      <w:pPr>
        <w:spacing w:line="240" w:lineRule="auto"/>
        <w:jc w:val="left"/>
      </w:pPr>
      <w:r>
        <w:rPr>
          <w:rFonts w:ascii="Times New Roman" w:hAnsi="Times New Roman" w:eastAsia="黑体"/>
          <w:b/>
          <w:sz w:val="24"/>
        </w:rPr>
        <w:t>三、创新性</w:t>
      </w:r>
    </w:p>
    <w:p>
      <w:pPr>
        <w:spacing w:line="240" w:lineRule="auto"/>
        <w:ind w:firstLine="480"/>
        <w:jc w:val="left"/>
      </w:pPr>
      <w:r>
        <w:rPr>
          <w:rFonts w:ascii="Times New Roman" w:hAnsi="Times New Roman" w:eastAsia="宋体"/>
          <w:b w:val="0"/>
          <w:sz w:val="24"/>
        </w:rPr>
        <w:t>（1）业务创新：首次在本方案中将“是否可信”前置到扣费之前，用“不可信→不扣费”保护用户，用“可信→严格围栏”规范停放，兼顾体验与秩序。（2）方法创新：以残差一致性等中间量驱动完好性三态，并与多边形围栏解耦，算法可替换、阈值可标定，避免黑盒。（3）验证创新：数字孪生测试集注入覆盖多径与欺骗复合剧本，输出误扣费率等业务指标，而非仅展示坐标误差，便于评审理解应用价值。（4）工程形态创新：规则与指标与载体解耦——量产锁控可用MCU/模组，研发阶段可用PC或边缘SoC（含Zynq处理系统）完成同源测试集验证，避免将方案异化为对特定芯片的依赖。（5）可证明性创新：提出增强层PLTG，把“位置可不可信”量化为带虚警预算的χ²检验统计量与水平保护级HPL，判决裕度定义为IMargin=|d|−HPL（d为到围栏边界的有符号距离），使“不扣错钱”从一组随机实现上的观察结果上升为方法性质；进一步利用共享单车“计费时刻必然静止”这一场景独有先验，以窗口联合解算把保守的HOLD转化为可标定的延迟定案，并用围栏几何作为对偶假设检验的两侧，输出“凭什么敢扣这一单”的证据差δ。</w:t>
      </w:r>
    </w:p>
    <w:p>
      <w:pPr>
        <w:spacing w:line="240" w:lineRule="auto"/>
        <w:jc w:val="left"/>
      </w:pPr>
      <w:r>
        <w:rPr>
          <w:rFonts w:ascii="Times New Roman" w:hAnsi="Times New Roman" w:eastAsia="黑体"/>
          <w:b/>
          <w:sz w:val="24"/>
        </w:rPr>
        <w:t>四、主要研究内容及实现思路</w:t>
      </w:r>
    </w:p>
    <w:p>
      <w:pPr>
        <w:spacing w:line="240" w:lineRule="auto"/>
        <w:ind w:firstLine="480"/>
        <w:jc w:val="left"/>
      </w:pPr>
      <w:r>
        <w:rPr>
          <w:rFonts w:ascii="Times New Roman" w:hAnsi="Times New Roman" w:eastAsia="黑体"/>
          <w:b/>
          <w:sz w:val="24"/>
        </w:rPr>
        <w:t>4.1 系统总体框架</w:t>
      </w:r>
    </w:p>
    <w:p>
      <w:pPr>
        <w:spacing w:line="240" w:lineRule="auto"/>
        <w:ind w:firstLine="480"/>
        <w:jc w:val="left"/>
      </w:pPr>
      <w:r>
        <w:rPr>
          <w:rFonts w:ascii="Times New Roman" w:hAnsi="Times New Roman" w:eastAsia="宋体"/>
          <w:b w:val="0"/>
          <w:sz w:val="24"/>
        </w:rPr>
        <w:t>框架分为四层：观测接入或测试集注入层；定位解算与残差特征层；完好性三态判决层；围栏业务决策层（合规/违停/不扣费）。研发模式下使用数字孪生场景库批量回归；运营模式下接入车端北斗观测实时输出计费标志。</w:t>
      </w:r>
    </w:p>
    <w:p>
      <w:pPr>
        <w:spacing w:line="240" w:lineRule="auto"/>
        <w:ind w:firstLine="480"/>
        <w:jc w:val="left"/>
      </w:pPr>
      <w:r>
        <w:rPr>
          <w:rFonts w:ascii="Times New Roman" w:hAnsi="Times New Roman" w:eastAsia="黑体"/>
          <w:b/>
          <w:sz w:val="24"/>
        </w:rPr>
        <w:t>4.2 贴边停车场景与围栏模型</w:t>
      </w:r>
    </w:p>
    <w:p>
      <w:pPr>
        <w:spacing w:line="240" w:lineRule="auto"/>
        <w:ind w:firstLine="480"/>
        <w:jc w:val="left"/>
      </w:pPr>
      <w:r>
        <w:rPr>
          <w:rFonts w:ascii="Times New Roman" w:hAnsi="Times New Roman" w:eastAsia="宋体"/>
          <w:b w:val="0"/>
          <w:sz w:val="24"/>
        </w:rPr>
        <w:t>以地铁口矩形停车框为例，车辆真值轨迹沿围栏下边界缓慢平移，覆盖框内、贴边与框外阶段，刻画用户“找车位、靠边停”的真实行为。围栏采用局部坐标系矩形多边形，便于可视化与包含判断。</w:t>
      </w:r>
    </w:p>
    <w:p>
      <w:pPr>
        <w:spacing w:line="240" w:lineRule="auto"/>
        <w:ind w:firstLine="480"/>
        <w:jc w:val="left"/>
      </w:pPr>
      <w:r>
        <w:rPr>
          <w:rFonts w:ascii="Times New Roman" w:hAnsi="Times New Roman" w:eastAsia="黑体"/>
          <w:b/>
          <w:sz w:val="24"/>
        </w:rPr>
        <w:t>4.3 数字孪生干扰注入</w:t>
      </w:r>
    </w:p>
    <w:p>
      <w:pPr>
        <w:spacing w:line="240" w:lineRule="auto"/>
        <w:ind w:firstLine="480"/>
        <w:jc w:val="left"/>
      </w:pPr>
      <w:r>
        <w:rPr>
          <w:rFonts w:ascii="Times New Roman" w:hAnsi="Times New Roman" w:eastAsia="宋体"/>
          <w:b w:val="0"/>
          <w:sz w:val="24"/>
        </w:rPr>
        <w:t>在简化星座与真值伪距上叠加观测噪声；城市多径采用慢变正弦与高斯包络；慢拉欺骗对部分卫星施加公共慢变偏置；局部拒止对失效通道注入大噪声。每历元携带攻击标签，支持有监督评估。测试集以npz持久化，可版本管理。</w:t>
      </w:r>
    </w:p>
    <w:p>
      <w:pPr>
        <w:spacing w:line="240" w:lineRule="auto"/>
        <w:ind w:firstLine="480"/>
        <w:jc w:val="left"/>
      </w:pPr>
      <w:r>
        <w:rPr>
          <w:rFonts w:ascii="Times New Roman" w:hAnsi="Times New Roman" w:eastAsia="黑体"/>
          <w:b/>
          <w:sz w:val="24"/>
        </w:rPr>
        <w:t>4.4 基线定位与完好性判决</w:t>
      </w:r>
    </w:p>
    <w:p>
      <w:pPr>
        <w:spacing w:line="240" w:lineRule="auto"/>
        <w:ind w:firstLine="480"/>
        <w:jc w:val="left"/>
      </w:pPr>
      <w:r>
        <w:rPr>
          <w:rFonts w:ascii="Times New Roman" w:hAnsi="Times New Roman" w:eastAsia="宋体"/>
          <w:b w:val="0"/>
          <w:sz w:val="24"/>
        </w:rPr>
        <w:t>采用迭代最小二乘伪距定位并剔野；残差去均值后计算RMS。可用卫星不足或RMS超过上限判拒止；超过噪声预期倍数判可疑；否则可信。判决加入业务迟滞可进一步降低抖动（报告给出接口）。</w:t>
      </w:r>
    </w:p>
    <w:p>
      <w:pPr>
        <w:spacing w:line="240" w:lineRule="auto"/>
        <w:ind w:firstLine="480"/>
        <w:jc w:val="left"/>
      </w:pPr>
      <w:r>
        <w:rPr>
          <w:rFonts w:ascii="Times New Roman" w:hAnsi="Times New Roman" w:eastAsia="黑体"/>
          <w:b/>
          <w:sz w:val="24"/>
        </w:rPr>
        <w:t>4.5 围栏决策规则</w:t>
      </w:r>
    </w:p>
    <w:p>
      <w:pPr>
        <w:spacing w:line="240" w:lineRule="auto"/>
        <w:ind w:firstLine="480"/>
        <w:jc w:val="left"/>
      </w:pPr>
      <w:r>
        <w:rPr>
          <w:rFonts w:ascii="Times New Roman" w:hAnsi="Times New Roman" w:eastAsia="宋体"/>
          <w:b w:val="0"/>
          <w:sz w:val="24"/>
        </w:rPr>
        <w:t>旧规则：解算点∈围框→合规，否则违停扣费。新规则：若不可信→不扣费、进入复核队列；若可信→再做包含判断。该规则实现简单，可直接部署于锁控固件或运营计费中间件。</w:t>
      </w:r>
    </w:p>
    <w:p>
      <w:pPr>
        <w:spacing w:line="240" w:lineRule="auto"/>
        <w:ind w:firstLine="480"/>
        <w:jc w:val="left"/>
      </w:pPr>
      <w:r>
        <w:rPr>
          <w:rFonts w:ascii="Times New Roman" w:hAnsi="Times New Roman" w:eastAsia="黑体"/>
          <w:b/>
          <w:sz w:val="24"/>
        </w:rPr>
        <w:t>4.6 仿真结果与证据（已实现）</w:t>
      </w:r>
    </w:p>
    <w:p>
      <w:pPr>
        <w:spacing w:line="240" w:lineRule="auto"/>
        <w:ind w:firstLine="480"/>
        <w:jc w:val="left"/>
      </w:pPr>
      <w:r>
        <w:rPr>
          <w:rFonts w:ascii="Times New Roman" w:hAnsi="Times New Roman" w:eastAsia="宋体"/>
          <w:b w:val="0"/>
          <w:sz w:val="24"/>
        </w:rPr>
        <w:t>工程已实现一键评估。在贴边停车设定下：清洁场景旧逻辑误扣费率约5%（边界噪声引起）；城市多径场景旧逻辑误扣费率约84%，本方案降至约11%，不可信占比约44%；多径+慢拉欺骗场景旧逻辑约74%，本方案误扣费率降至0%，不可信占比约79%；局部拒止场景旧逻辑约26%，本方案约5%。同步生成围栏俯视图（红点标注误扣风险）、扣费决策时序图（真值/旧逻辑/本方案对照）、定位误差时序图与跨场景误扣率对比图，满足创意赛对图片与演示材料的要求。</w:t>
      </w:r>
    </w:p>
    <w:p>
      <w:pPr>
        <w:spacing w:line="240" w:lineRule="auto"/>
        <w:ind w:firstLine="480"/>
        <w:jc w:val="left"/>
      </w:pPr>
      <w:r>
        <w:rPr>
          <w:rFonts w:ascii="Times New Roman" w:hAnsi="Times New Roman" w:eastAsia="黑体"/>
          <w:b/>
          <w:sz w:val="24"/>
        </w:rPr>
        <w:t>4.7 硬件载体与可选验证路径</w:t>
      </w:r>
    </w:p>
    <w:p>
      <w:pPr>
        <w:spacing w:line="240" w:lineRule="auto"/>
        <w:ind w:firstLine="480"/>
        <w:jc w:val="left"/>
      </w:pPr>
      <w:r>
        <w:rPr>
          <w:rFonts w:ascii="Times New Roman" w:hAnsi="Times New Roman" w:eastAsia="宋体"/>
          <w:b w:val="0"/>
          <w:sz w:val="24"/>
        </w:rPr>
        <w:t>本方案不绑定特定芯片。量产锁控建议采用低功耗MCU或GNSS模组完成定位、完好性与围栏判断，控制成本与功耗。研发阶段可在PC上完成数字孪生批量评估；为进一步说明同一套规则可运行于边缘处理器，亦在Zynq-7020的处理系统（PS）上通过JTAG加载与PC同源的测试集，批处理输出误扣率等汇总指标，与软件金标准对照。该板级实验属于可选加分验证，不是方案成立的前提；可编程逻辑（PL）加速观测特征仅作为路侧多车聚合等远期扩展，不作为本期创新主张。</w:t>
      </w:r>
    </w:p>
    <w:p>
      <w:pPr>
        <w:spacing w:line="240" w:lineRule="auto"/>
        <w:ind w:firstLine="480"/>
        <w:jc w:val="left"/>
      </w:pPr>
      <w:r>
        <w:rPr>
          <w:rFonts w:ascii="Times New Roman" w:hAnsi="Times New Roman" w:eastAsia="黑体"/>
          <w:b/>
          <w:sz w:val="24"/>
        </w:rPr>
        <w:t>4.8 增强层PLTG：保护级感知、零速聚合与分级降级（已实现并验证）</w:t>
      </w:r>
    </w:p>
    <w:p>
      <w:pPr>
        <w:spacing w:line="240" w:lineRule="auto"/>
        <w:ind w:firstLine="480"/>
        <w:jc w:val="left"/>
      </w:pPr>
      <w:r>
        <w:rPr>
          <w:rFonts w:ascii="Times New Roman" w:hAnsi="Times New Roman" w:eastAsia="宋体"/>
          <w:b w:val="0"/>
          <w:sz w:val="24"/>
        </w:rPr>
        <w:t>4.4~4.6的三态门控在“巡游找车位”轨迹上效果良好，但把场景换成计费真正发生的“锁车静止”时刻，并用更符合物理的噪声模型重跑后，暴露两个问题：其一，不可信一律不扣费导致44.0%的计费请求停在HOLD，业务吞吐受损；其二，其阈值（4σ、80 m）为经验值，缺少下界保证——干扰强度扫描显示多径8 m时该方案HOLD率为0、照常出结论，此时漏判违停5%，多径20 m时出现0.8%误扣。因此“看起来不误扣”不等于“不会误扣”。PLTG即针对这两点，把判决建立在可标定的统计量与场景物理先验之上。</w:t>
      </w:r>
    </w:p>
    <w:p>
      <w:pPr>
        <w:spacing w:line="240" w:lineRule="auto"/>
        <w:ind w:firstLine="480"/>
        <w:jc w:val="left"/>
      </w:pPr>
      <w:r>
        <w:rPr>
          <w:rFonts w:ascii="Times New Roman" w:hAnsi="Times New Roman" w:eastAsia="宋体"/>
          <w:b w:val="0"/>
          <w:sz w:val="24"/>
        </w:rPr>
        <w:t>（1）完好性量化。单历元4状态最小二乘后计算检验统计量T=Σr²/σ₀²，与χ²(1−P_fa, M−4)比较，本文取P_fa=10⁻²，门限由预算直接给出；位置协方差Q=σ̂²(HᵗH)¹，水平精度σ_h=√(Q_xx+Q_yy)，水平保护级HPL=k·σ_h，k=√(−2 ln P_hpa)=3.72（P_hpa=10⁻³，二维水平误差Rayleigh上界）。判决裕度IMargin=|d|−HPL，d为解算点到围栏边界的有符号距离；仅当±HPL不确定带整体落在框内（或框外）才允许定案，等价于给围栏作内缩与外扩缓冲等值线。消融实验（P2）表明只用单历元保护级时HOLD率高达96.5%——单频8星的HPL与16×12 m停车框同量级，单历元永远落在模糊带，这正说明必须引入下面两个先验。</w:t>
      </w:r>
    </w:p>
    <w:p>
      <w:pPr>
        <w:spacing w:line="240" w:lineRule="auto"/>
        <w:ind w:firstLine="480"/>
        <w:jc w:val="left"/>
      </w:pPr>
      <w:r>
        <w:rPr>
          <w:rFonts w:ascii="Times New Roman" w:hAnsi="Times New Roman" w:eastAsia="宋体"/>
          <w:b w:val="0"/>
          <w:sz w:val="24"/>
        </w:rPr>
        <w:t>（2）零速先验与窗口联合。锁车后车辆静止，故一个窗口内共享同一平面位置未知数（竖直固定为0），每历元仅一个接收机钟差；W×M个残差全部用于约束同一个点，等效精度按1/√W收敛，且多径的正弦时间结构在窗口内部分自相消。实现上把钟差用历元内去均值解析消掉（Frisch–Waugh–Lovell定理，与显式估计完全等价），法方程未知数由2+W降为2，单窗口解算在PC上小于1毫秒，具备MCU可部署性。由此HOLD不再是“不判”而是“再等W秒”，计费时延成为可标定指标：实测清洁场景3秒定案。零速先验的第二用途是独立欺骗防线：取窗口聚合位置序列最近40秒的最小二乘斜率v̂，锁车真值v̂≈0，慢拉欺骗或人为拖拽会持续单向漂移，v̂&gt;0.20 m/s即拒止；该防线不依赖残差幅度，与χ²门构成防御纵深。</w:t>
      </w:r>
    </w:p>
    <w:p>
      <w:pPr>
        <w:spacing w:line="240" w:lineRule="auto"/>
        <w:ind w:firstLine="480"/>
        <w:jc w:val="left"/>
      </w:pPr>
      <w:r>
        <w:rPr>
          <w:rFonts w:ascii="Times New Roman" w:hAnsi="Times New Roman" w:eastAsia="宋体"/>
          <w:b w:val="0"/>
          <w:sz w:val="24"/>
        </w:rPr>
        <w:t>（3）围栏即先验：对偶假设检验。不再问“点在不在框里”，而是分别求“位置约束在框内”与“约束在框外”的约束最小二乘拟合优度SSE_in与SSE_out（矩形为线性约束，外域最优解由四条贴边解与四个角点解取最小即活跃集投影），取证据差δ=(SSE_out−SSE_in)/σ̂²，门限δ_th=χ²(0.999, 2)=13.8（水平位置两个自由度）。δ≥+δ_th判合规，δ≤−δ_th判违停，否则HOLD。δ的量纲为χ²单位，可直接与虚警预算对话，这正是“凭什么敢扣这一单”的可举证答案。</w:t>
      </w:r>
    </w:p>
    <w:p>
      <w:pPr>
        <w:spacing w:line="240" w:lineRule="auto"/>
        <w:ind w:firstLine="480"/>
        <w:jc w:val="left"/>
      </w:pPr>
      <w:r>
        <w:rPr>
          <w:rFonts w:ascii="Times New Roman" w:hAnsi="Times New Roman" w:eastAsia="宋体"/>
          <w:b w:val="0"/>
          <w:sz w:val="24"/>
        </w:rPr>
        <w:t>（4）分级降级。GNSS的χ²门失败时，若停车点部署3个BLE/UWB路侧锚点（置于框角，测距σ=0.3 m，与接收机钟无关、与卫星信号完全独立，3个而非2个是为消除两圆相交的镜像模糊），则丢弃全部卫星观测、仅用锚点测距重解位置并继续做对偶检验。处置链为：L1单频GNSS聚合判决→L2路侧锚点降级判决→L3人工/信标复核队列。</w:t>
      </w:r>
    </w:p>
    <w:p>
      <w:pPr>
        <w:spacing w:line="240" w:lineRule="auto"/>
        <w:ind w:firstLine="480"/>
        <w:jc w:val="left"/>
      </w:pPr>
      <w:r>
        <w:rPr>
          <w:rFonts w:ascii="Times New Roman" w:hAnsi="Times New Roman" w:eastAsia="宋体"/>
          <w:b w:val="0"/>
          <w:sz w:val="24"/>
        </w:rPr>
        <w:t>（5）噪声模型修正。原数字孪生把卫星钟差取为N(0, 5 m)且接收机未知，而真实系统广播钟差改正后残差为分米至亚米级；5 m的未知逐星偏置无法被单历元公共钟差吸收，会把残差地板钉在约5 m，使任何χ²检验恒失败。故新增可配参数sat_clock_sigma_m：默认5.0以保持既有4个围栏场景、板端测试集与指标文件逐位不变（已用MD5校验），新增静止停车场景族取0.5 m，使完好性检验具备物理意义。</w:t>
      </w:r>
    </w:p>
    <w:p>
      <w:pPr>
        <w:spacing w:line="240" w:lineRule="auto"/>
        <w:jc w:val="left"/>
      </w:pPr>
      <w:r>
        <w:rPr>
          <w:rFonts w:ascii="Times New Roman" w:hAnsi="Times New Roman" w:eastAsia="黑体"/>
          <w:b w:val="0"/>
          <w:sz w:val="21"/>
        </w:rPr>
        <w:t>表4-1 五策略对照（10个静止停车场景均值，由run_pl_eval.py自动生成）</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tcPr>
          <w:p>
            <w:r/>
            <w:r>
              <w:rPr>
                <w:rFonts w:ascii="Times New Roman" w:hAnsi="Times New Roman" w:eastAsia="黑体"/>
                <w:b/>
                <w:sz w:val="21"/>
              </w:rPr>
              <w:t>策略</w:t>
            </w:r>
          </w:p>
        </w:tc>
        <w:tc>
          <w:tcPr>
            <w:tcW w:type="dxa" w:w="1186"/>
          </w:tcPr>
          <w:p>
            <w:r/>
            <w:r>
              <w:rPr>
                <w:rFonts w:ascii="Times New Roman" w:hAnsi="Times New Roman" w:eastAsia="黑体"/>
                <w:b/>
                <w:sz w:val="21"/>
              </w:rPr>
              <w:t>误扣率</w:t>
            </w:r>
          </w:p>
        </w:tc>
        <w:tc>
          <w:tcPr>
            <w:tcW w:type="dxa" w:w="1186"/>
          </w:tcPr>
          <w:p>
            <w:r/>
            <w:r>
              <w:rPr>
                <w:rFonts w:ascii="Times New Roman" w:hAnsi="Times New Roman" w:eastAsia="黑体"/>
                <w:b/>
                <w:sz w:val="21"/>
              </w:rPr>
              <w:t>漏判违停</w:t>
            </w:r>
          </w:p>
        </w:tc>
        <w:tc>
          <w:tcPr>
            <w:tcW w:type="dxa" w:w="1186"/>
          </w:tcPr>
          <w:p>
            <w:r/>
            <w:r>
              <w:rPr>
                <w:rFonts w:ascii="Times New Roman" w:hAnsi="Times New Roman" w:eastAsia="黑体"/>
                <w:b/>
                <w:sz w:val="21"/>
              </w:rPr>
              <w:t>HOLD率</w:t>
            </w:r>
          </w:p>
        </w:tc>
        <w:tc>
          <w:tcPr>
            <w:tcW w:type="dxa" w:w="1186"/>
          </w:tcPr>
          <w:p>
            <w:r/>
            <w:r>
              <w:rPr>
                <w:rFonts w:ascii="Times New Roman" w:hAnsi="Times New Roman" w:eastAsia="黑体"/>
                <w:b/>
                <w:sz w:val="21"/>
              </w:rPr>
              <w:t>自动判决率</w:t>
            </w:r>
          </w:p>
        </w:tc>
        <w:tc>
          <w:tcPr>
            <w:tcW w:type="dxa" w:w="1186"/>
          </w:tcPr>
          <w:p>
            <w:r/>
            <w:r>
              <w:rPr>
                <w:rFonts w:ascii="Times New Roman" w:hAnsi="Times New Roman" w:eastAsia="黑体"/>
                <w:b/>
                <w:sz w:val="21"/>
              </w:rPr>
              <w:t>首次定案</w:t>
            </w:r>
          </w:p>
        </w:tc>
        <w:tc>
          <w:tcPr>
            <w:tcW w:type="dxa" w:w="1186"/>
          </w:tcPr>
          <w:p>
            <w:r/>
            <w:r>
              <w:rPr>
                <w:rFonts w:ascii="Times New Roman" w:hAnsi="Times New Roman" w:eastAsia="黑体"/>
                <w:b/>
                <w:sz w:val="21"/>
              </w:rPr>
              <w:t>期望代价/100历元</w:t>
            </w:r>
          </w:p>
        </w:tc>
      </w:tr>
      <w:tr>
        <w:tc>
          <w:tcPr>
            <w:tcW w:type="dxa" w:w="1186"/>
          </w:tcPr>
          <w:p>
            <w:r/>
            <w:r>
              <w:rPr>
                <w:rFonts w:ascii="Times New Roman" w:hAnsi="Times New Roman" w:eastAsia="宋体"/>
                <w:b w:val="0"/>
                <w:sz w:val="21"/>
              </w:rPr>
              <w:t>P0 旧逻辑（仅判内外）</w:t>
            </w:r>
          </w:p>
        </w:tc>
        <w:tc>
          <w:tcPr>
            <w:tcW w:type="dxa" w:w="1186"/>
          </w:tcPr>
          <w:p>
            <w:r/>
            <w:r>
              <w:rPr>
                <w:rFonts w:ascii="Times New Roman" w:hAnsi="Times New Roman" w:eastAsia="宋体"/>
                <w:b w:val="0"/>
                <w:sz w:val="21"/>
              </w:rPr>
              <w:t>13.31%</w:t>
            </w:r>
          </w:p>
        </w:tc>
        <w:tc>
          <w:tcPr>
            <w:tcW w:type="dxa" w:w="1186"/>
          </w:tcPr>
          <w:p>
            <w:r/>
            <w:r>
              <w:rPr>
                <w:rFonts w:ascii="Times New Roman" w:hAnsi="Times New Roman" w:eastAsia="宋体"/>
                <w:b w:val="0"/>
                <w:sz w:val="21"/>
              </w:rPr>
              <w:t>—</w:t>
            </w:r>
          </w:p>
        </w:tc>
        <w:tc>
          <w:tcPr>
            <w:tcW w:type="dxa" w:w="1186"/>
          </w:tcPr>
          <w:p>
            <w:r/>
            <w:r>
              <w:rPr>
                <w:rFonts w:ascii="Times New Roman" w:hAnsi="Times New Roman" w:eastAsia="宋体"/>
                <w:b w:val="0"/>
                <w:sz w:val="21"/>
              </w:rPr>
              <w:t>0.0%</w:t>
            </w:r>
          </w:p>
        </w:tc>
        <w:tc>
          <w:tcPr>
            <w:tcW w:type="dxa" w:w="1186"/>
          </w:tcPr>
          <w:p>
            <w:r/>
            <w:r>
              <w:rPr>
                <w:rFonts w:ascii="Times New Roman" w:hAnsi="Times New Roman" w:eastAsia="宋体"/>
                <w:b w:val="0"/>
                <w:sz w:val="21"/>
              </w:rPr>
              <w:t>100%</w:t>
            </w:r>
          </w:p>
        </w:tc>
        <w:tc>
          <w:tcPr>
            <w:tcW w:type="dxa" w:w="1186"/>
          </w:tcPr>
          <w:p>
            <w:r/>
            <w:r>
              <w:rPr>
                <w:rFonts w:ascii="Times New Roman" w:hAnsi="Times New Roman" w:eastAsia="宋体"/>
                <w:b w:val="0"/>
                <w:sz w:val="21"/>
              </w:rPr>
              <w:t>0 s</w:t>
            </w:r>
          </w:p>
        </w:tc>
        <w:tc>
          <w:tcPr>
            <w:tcW w:type="dxa" w:w="1186"/>
          </w:tcPr>
          <w:p>
            <w:r/>
            <w:r>
              <w:rPr>
                <w:rFonts w:ascii="Times New Roman" w:hAnsi="Times New Roman" w:eastAsia="宋体"/>
                <w:b w:val="0"/>
                <w:sz w:val="21"/>
              </w:rPr>
              <w:t>4.84</w:t>
            </w:r>
          </w:p>
        </w:tc>
      </w:tr>
      <w:tr>
        <w:tc>
          <w:tcPr>
            <w:tcW w:type="dxa" w:w="1186"/>
          </w:tcPr>
          <w:p>
            <w:r/>
            <w:r>
              <w:rPr>
                <w:rFonts w:ascii="Times New Roman" w:hAnsi="Times New Roman" w:eastAsia="宋体"/>
                <w:b w:val="0"/>
                <w:sz w:val="21"/>
              </w:rPr>
              <w:t>P1 三态门控（4.4~4.6）</w:t>
            </w:r>
          </w:p>
        </w:tc>
        <w:tc>
          <w:tcPr>
            <w:tcW w:type="dxa" w:w="1186"/>
          </w:tcPr>
          <w:p>
            <w:r/>
            <w:r>
              <w:rPr>
                <w:rFonts w:ascii="Times New Roman" w:hAnsi="Times New Roman" w:eastAsia="宋体"/>
                <w:b w:val="0"/>
                <w:sz w:val="21"/>
              </w:rPr>
              <w:t>0.17%</w:t>
            </w:r>
          </w:p>
        </w:tc>
        <w:tc>
          <w:tcPr>
            <w:tcW w:type="dxa" w:w="1186"/>
          </w:tcPr>
          <w:p>
            <w:r/>
            <w:r>
              <w:rPr>
                <w:rFonts w:ascii="Times New Roman" w:hAnsi="Times New Roman" w:eastAsia="宋体"/>
                <w:b w:val="0"/>
                <w:sz w:val="21"/>
              </w:rPr>
              <w:t>3.0%</w:t>
            </w:r>
          </w:p>
        </w:tc>
        <w:tc>
          <w:tcPr>
            <w:tcW w:type="dxa" w:w="1186"/>
          </w:tcPr>
          <w:p>
            <w:r/>
            <w:r>
              <w:rPr>
                <w:rFonts w:ascii="Times New Roman" w:hAnsi="Times New Roman" w:eastAsia="宋体"/>
                <w:b w:val="0"/>
                <w:sz w:val="21"/>
              </w:rPr>
              <w:t>44.0%</w:t>
            </w:r>
          </w:p>
        </w:tc>
        <w:tc>
          <w:tcPr>
            <w:tcW w:type="dxa" w:w="1186"/>
          </w:tcPr>
          <w:p>
            <w:r/>
            <w:r>
              <w:rPr>
                <w:rFonts w:ascii="Times New Roman" w:hAnsi="Times New Roman" w:eastAsia="宋体"/>
                <w:b w:val="0"/>
                <w:sz w:val="21"/>
              </w:rPr>
              <w:t>56.0%</w:t>
            </w:r>
          </w:p>
        </w:tc>
        <w:tc>
          <w:tcPr>
            <w:tcW w:type="dxa" w:w="1186"/>
          </w:tcPr>
          <w:p>
            <w:r/>
            <w:r>
              <w:rPr>
                <w:rFonts w:ascii="Times New Roman" w:hAnsi="Times New Roman" w:eastAsia="宋体"/>
                <w:b w:val="0"/>
                <w:sz w:val="21"/>
              </w:rPr>
              <w:t>0 s</w:t>
            </w:r>
          </w:p>
        </w:tc>
        <w:tc>
          <w:tcPr>
            <w:tcW w:type="dxa" w:w="1186"/>
          </w:tcPr>
          <w:p>
            <w:r/>
            <w:r>
              <w:rPr>
                <w:rFonts w:ascii="Times New Roman" w:hAnsi="Times New Roman" w:eastAsia="宋体"/>
                <w:b w:val="0"/>
                <w:sz w:val="21"/>
              </w:rPr>
              <w:t>1.78</w:t>
            </w:r>
          </w:p>
        </w:tc>
      </w:tr>
      <w:tr>
        <w:tc>
          <w:tcPr>
            <w:tcW w:type="dxa" w:w="1186"/>
          </w:tcPr>
          <w:p>
            <w:r/>
            <w:r>
              <w:rPr>
                <w:rFonts w:ascii="Times New Roman" w:hAnsi="Times New Roman" w:eastAsia="宋体"/>
                <w:b w:val="0"/>
                <w:sz w:val="21"/>
              </w:rPr>
              <w:t>P2 单历元保护级（消融）</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96.5%</w:t>
            </w:r>
          </w:p>
        </w:tc>
        <w:tc>
          <w:tcPr>
            <w:tcW w:type="dxa" w:w="1186"/>
          </w:tcPr>
          <w:p>
            <w:r/>
            <w:r>
              <w:rPr>
                <w:rFonts w:ascii="Times New Roman" w:hAnsi="Times New Roman" w:eastAsia="宋体"/>
                <w:b w:val="0"/>
                <w:sz w:val="21"/>
              </w:rPr>
              <w:t>3.5%</w:t>
            </w:r>
          </w:p>
        </w:tc>
        <w:tc>
          <w:tcPr>
            <w:tcW w:type="dxa" w:w="1186"/>
          </w:tcPr>
          <w:p>
            <w:r/>
            <w:r>
              <w:rPr>
                <w:rFonts w:ascii="Times New Roman" w:hAnsi="Times New Roman" w:eastAsia="宋体"/>
                <w:b w:val="0"/>
                <w:sz w:val="21"/>
              </w:rPr>
              <w:t>6~22 s</w:t>
            </w:r>
          </w:p>
        </w:tc>
        <w:tc>
          <w:tcPr>
            <w:tcW w:type="dxa" w:w="1186"/>
          </w:tcPr>
          <w:p>
            <w:r/>
            <w:r>
              <w:rPr>
                <w:rFonts w:ascii="Times New Roman" w:hAnsi="Times New Roman" w:eastAsia="宋体"/>
                <w:b w:val="0"/>
                <w:sz w:val="21"/>
              </w:rPr>
              <w:t>3.02</w:t>
            </w:r>
          </w:p>
        </w:tc>
      </w:tr>
      <w:tr>
        <w:tc>
          <w:tcPr>
            <w:tcW w:type="dxa" w:w="1186"/>
          </w:tcPr>
          <w:p>
            <w:r/>
            <w:r>
              <w:rPr>
                <w:rFonts w:ascii="Times New Roman" w:hAnsi="Times New Roman" w:eastAsia="宋体"/>
                <w:b w:val="0"/>
                <w:sz w:val="21"/>
              </w:rPr>
              <w:t>P3 PLTG（GNSS单源）</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75.4%</w:t>
            </w:r>
          </w:p>
        </w:tc>
        <w:tc>
          <w:tcPr>
            <w:tcW w:type="dxa" w:w="1186"/>
          </w:tcPr>
          <w:p>
            <w:r/>
            <w:r>
              <w:rPr>
                <w:rFonts w:ascii="Times New Roman" w:hAnsi="Times New Roman" w:eastAsia="宋体"/>
                <w:b w:val="0"/>
                <w:sz w:val="21"/>
              </w:rPr>
              <w:t>24.6%</w:t>
            </w:r>
          </w:p>
        </w:tc>
        <w:tc>
          <w:tcPr>
            <w:tcW w:type="dxa" w:w="1186"/>
          </w:tcPr>
          <w:p>
            <w:r/>
            <w:r>
              <w:rPr>
                <w:rFonts w:ascii="Times New Roman" w:hAnsi="Times New Roman" w:eastAsia="宋体"/>
                <w:b w:val="0"/>
                <w:sz w:val="21"/>
              </w:rPr>
              <w:t>3 s</w:t>
            </w:r>
          </w:p>
        </w:tc>
        <w:tc>
          <w:tcPr>
            <w:tcW w:type="dxa" w:w="1186"/>
          </w:tcPr>
          <w:p>
            <w:r/>
            <w:r>
              <w:rPr>
                <w:rFonts w:ascii="Times New Roman" w:hAnsi="Times New Roman" w:eastAsia="宋体"/>
                <w:b w:val="0"/>
                <w:sz w:val="21"/>
              </w:rPr>
              <w:t>2.35</w:t>
            </w:r>
          </w:p>
        </w:tc>
      </w:tr>
      <w:tr>
        <w:tc>
          <w:tcPr>
            <w:tcW w:type="dxa" w:w="1186"/>
          </w:tcPr>
          <w:p>
            <w:r/>
            <w:r>
              <w:rPr>
                <w:rFonts w:ascii="Times New Roman" w:hAnsi="Times New Roman" w:eastAsia="宋体"/>
                <w:b w:val="0"/>
                <w:sz w:val="21"/>
              </w:rPr>
              <w:t>P4 PLTG+3路侧锚点</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0%</w:t>
            </w:r>
          </w:p>
        </w:tc>
        <w:tc>
          <w:tcPr>
            <w:tcW w:type="dxa" w:w="1186"/>
          </w:tcPr>
          <w:p>
            <w:r/>
            <w:r>
              <w:rPr>
                <w:rFonts w:ascii="Times New Roman" w:hAnsi="Times New Roman" w:eastAsia="宋体"/>
                <w:b w:val="0"/>
                <w:sz w:val="21"/>
              </w:rPr>
              <w:t>2.6%</w:t>
            </w:r>
          </w:p>
        </w:tc>
        <w:tc>
          <w:tcPr>
            <w:tcW w:type="dxa" w:w="1186"/>
          </w:tcPr>
          <w:p>
            <w:r/>
            <w:r>
              <w:rPr>
                <w:rFonts w:ascii="Times New Roman" w:hAnsi="Times New Roman" w:eastAsia="宋体"/>
                <w:b w:val="0"/>
                <w:sz w:val="21"/>
              </w:rPr>
              <w:t>97.4%</w:t>
            </w:r>
          </w:p>
        </w:tc>
        <w:tc>
          <w:tcPr>
            <w:tcW w:type="dxa" w:w="1186"/>
          </w:tcPr>
          <w:p>
            <w:r/>
            <w:r>
              <w:rPr>
                <w:rFonts w:ascii="Times New Roman" w:hAnsi="Times New Roman" w:eastAsia="宋体"/>
                <w:b w:val="0"/>
                <w:sz w:val="21"/>
              </w:rPr>
              <w:t>3 s</w:t>
            </w:r>
          </w:p>
        </w:tc>
        <w:tc>
          <w:tcPr>
            <w:tcW w:type="dxa" w:w="1186"/>
          </w:tcPr>
          <w:p>
            <w:r/>
            <w:r>
              <w:rPr>
                <w:rFonts w:ascii="Times New Roman" w:hAnsi="Times New Roman" w:eastAsia="宋体"/>
                <w:b w:val="0"/>
                <w:sz w:val="21"/>
              </w:rPr>
              <w:t>0.08</w:t>
            </w:r>
          </w:p>
        </w:tc>
      </w:tr>
    </w:tbl>
    <w:p>
      <w:pPr>
        <w:spacing w:line="240" w:lineRule="auto"/>
        <w:ind w:firstLine="480"/>
        <w:jc w:val="left"/>
      </w:pPr>
      <w:r>
        <w:rPr>
          <w:rFonts w:ascii="Times New Roman" w:hAnsi="Times New Roman" w:eastAsia="宋体"/>
          <w:b w:val="0"/>
          <w:sz w:val="24"/>
        </w:rPr>
        <w:t>代价模型取误扣10分（客诉、品牌与监管风险）、漏判违停6分（运营调度损失）、HOLD 1分（延迟计费与复核）。P4的期望业务代价为P1的1/22、旧逻辑的1/60。单场景看：多径8 m+慢拉欺骗下旧逻辑误扣53.7%，P1为0.83%，P3与P4为0%；局部拒止（35 s后仅剩3星）下旧逻辑误扣71.1%，P4为0%且自动判决率97.5%。</w:t>
      </w:r>
    </w:p>
    <w:p>
      <w:pPr>
        <w:spacing w:line="240" w:lineRule="auto"/>
        <w:jc w:val="left"/>
      </w:pPr>
      <w:r>
        <w:rPr>
          <w:rFonts w:ascii="Times New Roman" w:hAnsi="Times New Roman" w:eastAsia="黑体"/>
          <w:b w:val="0"/>
          <w:sz w:val="21"/>
        </w:rPr>
        <w:t>表4-2 干扰强度扫描（真值在框内，多径0→20 m）</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tcPr>
          <w:p>
            <w:r/>
            <w:r>
              <w:rPr>
                <w:rFonts w:ascii="Times New Roman" w:hAnsi="Times New Roman" w:eastAsia="黑体"/>
                <w:b/>
                <w:sz w:val="21"/>
              </w:rPr>
              <w:t>多径幅度</w:t>
            </w:r>
          </w:p>
        </w:tc>
        <w:tc>
          <w:tcPr>
            <w:tcW w:type="dxa" w:w="1186"/>
          </w:tcPr>
          <w:p>
            <w:r/>
            <w:r>
              <w:rPr>
                <w:rFonts w:ascii="Times New Roman" w:hAnsi="Times New Roman" w:eastAsia="黑体"/>
                <w:b/>
                <w:sz w:val="21"/>
              </w:rPr>
              <w:t>P1 HOLD</w:t>
            </w:r>
          </w:p>
        </w:tc>
        <w:tc>
          <w:tcPr>
            <w:tcW w:type="dxa" w:w="1186"/>
          </w:tcPr>
          <w:p>
            <w:r/>
            <w:r>
              <w:rPr>
                <w:rFonts w:ascii="Times New Roman" w:hAnsi="Times New Roman" w:eastAsia="黑体"/>
                <w:b/>
                <w:sz w:val="21"/>
              </w:rPr>
              <w:t>P1 误扣</w:t>
            </w:r>
          </w:p>
        </w:tc>
        <w:tc>
          <w:tcPr>
            <w:tcW w:type="dxa" w:w="1186"/>
          </w:tcPr>
          <w:p>
            <w:r/>
            <w:r>
              <w:rPr>
                <w:rFonts w:ascii="Times New Roman" w:hAnsi="Times New Roman" w:eastAsia="黑体"/>
                <w:b/>
                <w:sz w:val="21"/>
              </w:rPr>
              <w:t>P3 HOLD</w:t>
            </w:r>
          </w:p>
        </w:tc>
        <w:tc>
          <w:tcPr>
            <w:tcW w:type="dxa" w:w="1186"/>
          </w:tcPr>
          <w:p>
            <w:r/>
            <w:r>
              <w:rPr>
                <w:rFonts w:ascii="Times New Roman" w:hAnsi="Times New Roman" w:eastAsia="黑体"/>
                <w:b/>
                <w:sz w:val="21"/>
              </w:rPr>
              <w:t>P4 HOLD</w:t>
            </w:r>
          </w:p>
        </w:tc>
        <w:tc>
          <w:tcPr>
            <w:tcW w:type="dxa" w:w="1186"/>
          </w:tcPr>
          <w:p>
            <w:r/>
            <w:r>
              <w:rPr>
                <w:rFonts w:ascii="Times New Roman" w:hAnsi="Times New Roman" w:eastAsia="黑体"/>
                <w:b/>
                <w:sz w:val="21"/>
              </w:rPr>
              <w:t>P4 误扣</w:t>
            </w:r>
          </w:p>
        </w:tc>
        <w:tc>
          <w:tcPr>
            <w:tcW w:type="dxa" w:w="1186"/>
          </w:tcPr>
          <w:p>
            <w:r/>
            <w:r>
              <w:rPr>
                <w:rFonts w:ascii="Times New Roman" w:hAnsi="Times New Roman" w:eastAsia="黑体"/>
                <w:b/>
                <w:sz w:val="21"/>
              </w:rPr>
              <w:t>GNSS窗口位置误差</w:t>
            </w:r>
          </w:p>
        </w:tc>
      </w:tr>
      <w:tr>
        <w:tc>
          <w:tcPr>
            <w:tcW w:type="dxa" w:w="1186"/>
          </w:tcPr>
          <w:p>
            <w:r/>
            <w:r>
              <w:rPr>
                <w:rFonts w:ascii="Times New Roman" w:hAnsi="Times New Roman" w:eastAsia="宋体"/>
                <w:b w:val="0"/>
                <w:sz w:val="21"/>
              </w:rPr>
              <w:t>0 m</w:t>
            </w:r>
          </w:p>
        </w:tc>
        <w:tc>
          <w:tcPr>
            <w:tcW w:type="dxa" w:w="1186"/>
          </w:tcPr>
          <w:p>
            <w:r/>
            <w:r>
              <w:rPr>
                <w:rFonts w:ascii="Times New Roman" w:hAnsi="Times New Roman" w:eastAsia="宋体"/>
                <w:b w:val="0"/>
                <w:sz w:val="21"/>
              </w:rPr>
              <w:t>0.00</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0.03</w:t>
            </w:r>
          </w:p>
        </w:tc>
        <w:tc>
          <w:tcPr>
            <w:tcW w:type="dxa" w:w="1186"/>
          </w:tcPr>
          <w:p>
            <w:r/>
            <w:r>
              <w:rPr>
                <w:rFonts w:ascii="Times New Roman" w:hAnsi="Times New Roman" w:eastAsia="宋体"/>
                <w:b w:val="0"/>
                <w:sz w:val="21"/>
              </w:rPr>
              <w:t>0.02</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0.36 m（HPL 1.09 m）</w:t>
            </w:r>
          </w:p>
        </w:tc>
      </w:tr>
      <w:tr>
        <w:tc>
          <w:tcPr>
            <w:tcW w:type="dxa" w:w="1186"/>
          </w:tcPr>
          <w:p>
            <w:r/>
            <w:r>
              <w:rPr>
                <w:rFonts w:ascii="Times New Roman" w:hAnsi="Times New Roman" w:eastAsia="宋体"/>
                <w:b w:val="0"/>
                <w:sz w:val="21"/>
              </w:rPr>
              <w:t>8 m</w:t>
            </w:r>
          </w:p>
        </w:tc>
        <w:tc>
          <w:tcPr>
            <w:tcW w:type="dxa" w:w="1186"/>
          </w:tcPr>
          <w:p>
            <w:r/>
            <w:r>
              <w:rPr>
                <w:rFonts w:ascii="Times New Roman" w:hAnsi="Times New Roman" w:eastAsia="宋体"/>
                <w:b w:val="0"/>
                <w:sz w:val="21"/>
              </w:rPr>
              <w:t>0.00</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1.00</w:t>
            </w:r>
          </w:p>
        </w:tc>
        <w:tc>
          <w:tcPr>
            <w:tcW w:type="dxa" w:w="1186"/>
          </w:tcPr>
          <w:p>
            <w:r/>
            <w:r>
              <w:rPr>
                <w:rFonts w:ascii="Times New Roman" w:hAnsi="Times New Roman" w:eastAsia="宋体"/>
                <w:b w:val="0"/>
                <w:sz w:val="21"/>
              </w:rPr>
              <w:t>0.02</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1.62 m（HPL 2.71 m）</w:t>
            </w:r>
          </w:p>
        </w:tc>
      </w:tr>
      <w:tr>
        <w:tc>
          <w:tcPr>
            <w:tcW w:type="dxa" w:w="1186"/>
          </w:tcPr>
          <w:p>
            <w:r/>
            <w:r>
              <w:rPr>
                <w:rFonts w:ascii="Times New Roman" w:hAnsi="Times New Roman" w:eastAsia="宋体"/>
                <w:b w:val="0"/>
                <w:sz w:val="21"/>
              </w:rPr>
              <w:t>12 m</w:t>
            </w:r>
          </w:p>
        </w:tc>
        <w:tc>
          <w:tcPr>
            <w:tcW w:type="dxa" w:w="1186"/>
          </w:tcPr>
          <w:p>
            <w:r/>
            <w:r>
              <w:rPr>
                <w:rFonts w:ascii="Times New Roman" w:hAnsi="Times New Roman" w:eastAsia="宋体"/>
                <w:b w:val="0"/>
                <w:sz w:val="21"/>
              </w:rPr>
              <w:t>0.17</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1.00</w:t>
            </w:r>
          </w:p>
        </w:tc>
        <w:tc>
          <w:tcPr>
            <w:tcW w:type="dxa" w:w="1186"/>
          </w:tcPr>
          <w:p>
            <w:r/>
            <w:r>
              <w:rPr>
                <w:rFonts w:ascii="Times New Roman" w:hAnsi="Times New Roman" w:eastAsia="宋体"/>
                <w:b w:val="0"/>
                <w:sz w:val="21"/>
              </w:rPr>
              <w:t>0.02</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2.56 m（HPL 3.90 m）</w:t>
            </w:r>
          </w:p>
        </w:tc>
      </w:tr>
      <w:tr>
        <w:tc>
          <w:tcPr>
            <w:tcW w:type="dxa" w:w="1186"/>
          </w:tcPr>
          <w:p>
            <w:r/>
            <w:r>
              <w:rPr>
                <w:rFonts w:ascii="Times New Roman" w:hAnsi="Times New Roman" w:eastAsia="宋体"/>
                <w:b w:val="0"/>
                <w:sz w:val="21"/>
              </w:rPr>
              <w:t>20 m</w:t>
            </w:r>
          </w:p>
        </w:tc>
        <w:tc>
          <w:tcPr>
            <w:tcW w:type="dxa" w:w="1186"/>
          </w:tcPr>
          <w:p>
            <w:r/>
            <w:r>
              <w:rPr>
                <w:rFonts w:ascii="Times New Roman" w:hAnsi="Times New Roman" w:eastAsia="宋体"/>
                <w:b w:val="0"/>
                <w:sz w:val="21"/>
              </w:rPr>
              <w:t>0.69</w:t>
            </w:r>
          </w:p>
        </w:tc>
        <w:tc>
          <w:tcPr>
            <w:tcW w:type="dxa" w:w="1186"/>
          </w:tcPr>
          <w:p>
            <w:r/>
            <w:r>
              <w:rPr>
                <w:rFonts w:ascii="Times New Roman" w:hAnsi="Times New Roman" w:eastAsia="宋体"/>
                <w:b w:val="0"/>
                <w:sz w:val="21"/>
              </w:rPr>
              <w:t>0.008</w:t>
            </w:r>
          </w:p>
        </w:tc>
        <w:tc>
          <w:tcPr>
            <w:tcW w:type="dxa" w:w="1186"/>
          </w:tcPr>
          <w:p>
            <w:r/>
            <w:r>
              <w:rPr>
                <w:rFonts w:ascii="Times New Roman" w:hAnsi="Times New Roman" w:eastAsia="宋体"/>
                <w:b w:val="0"/>
                <w:sz w:val="21"/>
              </w:rPr>
              <w:t>1.00</w:t>
            </w:r>
          </w:p>
        </w:tc>
        <w:tc>
          <w:tcPr>
            <w:tcW w:type="dxa" w:w="1186"/>
          </w:tcPr>
          <w:p>
            <w:r/>
            <w:r>
              <w:rPr>
                <w:rFonts w:ascii="Times New Roman" w:hAnsi="Times New Roman" w:eastAsia="宋体"/>
                <w:b w:val="0"/>
                <w:sz w:val="21"/>
              </w:rPr>
              <w:t>0.02</w:t>
            </w:r>
          </w:p>
        </w:tc>
        <w:tc>
          <w:tcPr>
            <w:tcW w:type="dxa" w:w="1186"/>
          </w:tcPr>
          <w:p>
            <w:r/>
            <w:r>
              <w:rPr>
                <w:rFonts w:ascii="Times New Roman" w:hAnsi="Times New Roman" w:eastAsia="宋体"/>
                <w:b w:val="0"/>
                <w:sz w:val="21"/>
              </w:rPr>
              <w:t>0.000</w:t>
            </w:r>
          </w:p>
        </w:tc>
        <w:tc>
          <w:tcPr>
            <w:tcW w:type="dxa" w:w="1186"/>
          </w:tcPr>
          <w:p>
            <w:r/>
            <w:r>
              <w:rPr>
                <w:rFonts w:ascii="Times New Roman" w:hAnsi="Times New Roman" w:eastAsia="宋体"/>
                <w:b w:val="0"/>
                <w:sz w:val="21"/>
              </w:rPr>
              <w:t>4.45 m（HPL 6.37 m）</w:t>
            </w:r>
          </w:p>
        </w:tc>
      </w:tr>
    </w:tbl>
    <w:p>
      <w:pPr>
        <w:spacing w:line="240" w:lineRule="auto"/>
        <w:ind w:firstLine="480"/>
        <w:jc w:val="left"/>
      </w:pPr>
      <w:r>
        <w:rPr>
          <w:rFonts w:ascii="Times New Roman" w:hAnsi="Times New Roman" w:eastAsia="宋体"/>
          <w:b w:val="0"/>
          <w:sz w:val="24"/>
        </w:rPr>
        <w:t>表4-2的读法：P1在4~8 m多径下HOLD为0、照常出结论，此时真值在框外的场景中它已开始漏判违停（5%~10%），20 m时开始误扣；P3把这类场景全部HOLD，误扣与漏判严格为0；P4在同样干扰下依靠锚点把HOLD压到2%。同时必须诚实指出：只有单频GNSS时，多径20 m下HPL 6.37 m已大于围栏最小半宽6 m，“判不动”是物理事实而非算法缺陷，本层的价值是把它变成可证明、可量化、可降级处置的结论。</w:t>
      </w:r>
    </w:p>
    <w:p>
      <w:pPr>
        <w:spacing w:line="240" w:lineRule="auto"/>
        <w:jc w:val="left"/>
      </w:pPr>
      <w:r>
        <w:rPr>
          <w:rFonts w:ascii="Times New Roman" w:hAnsi="Times New Roman" w:eastAsia="黑体"/>
          <w:b w:val="0"/>
          <w:sz w:val="21"/>
        </w:rPr>
        <w:t>表4-3 组件与超参数敏感性（P3，10场景均值）</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r>
              <w:rPr>
                <w:rFonts w:ascii="Times New Roman" w:hAnsi="Times New Roman" w:eastAsia="黑体"/>
                <w:b/>
                <w:sz w:val="21"/>
              </w:rPr>
              <w:t>变体</w:t>
            </w:r>
          </w:p>
        </w:tc>
        <w:tc>
          <w:tcPr>
            <w:tcW w:type="dxa" w:w="1660"/>
          </w:tcPr>
          <w:p>
            <w:r/>
            <w:r>
              <w:rPr>
                <w:rFonts w:ascii="Times New Roman" w:hAnsi="Times New Roman" w:eastAsia="黑体"/>
                <w:b/>
                <w:sz w:val="21"/>
              </w:rPr>
              <w:t>误扣率</w:t>
            </w:r>
          </w:p>
        </w:tc>
        <w:tc>
          <w:tcPr>
            <w:tcW w:type="dxa" w:w="1660"/>
          </w:tcPr>
          <w:p>
            <w:r/>
            <w:r>
              <w:rPr>
                <w:rFonts w:ascii="Times New Roman" w:hAnsi="Times New Roman" w:eastAsia="黑体"/>
                <w:b/>
                <w:sz w:val="21"/>
              </w:rPr>
              <w:t>HOLD率</w:t>
            </w:r>
          </w:p>
        </w:tc>
        <w:tc>
          <w:tcPr>
            <w:tcW w:type="dxa" w:w="1660"/>
          </w:tcPr>
          <w:p>
            <w:r/>
            <w:r>
              <w:rPr>
                <w:rFonts w:ascii="Times New Roman" w:hAnsi="Times New Roman" w:eastAsia="黑体"/>
                <w:b/>
                <w:sz w:val="21"/>
              </w:rPr>
              <w:t>期望代价</w:t>
            </w:r>
          </w:p>
        </w:tc>
        <w:tc>
          <w:tcPr>
            <w:tcW w:type="dxa" w:w="1660"/>
          </w:tcPr>
          <w:p>
            <w:r/>
            <w:r>
              <w:rPr>
                <w:rFonts w:ascii="Times New Roman" w:hAnsi="Times New Roman" w:eastAsia="黑体"/>
                <w:b/>
                <w:sz w:val="21"/>
              </w:rPr>
              <w:t>最差定案时延</w:t>
            </w:r>
          </w:p>
        </w:tc>
      </w:tr>
      <w:tr>
        <w:tc>
          <w:tcPr>
            <w:tcW w:type="dxa" w:w="1660"/>
          </w:tcPr>
          <w:p>
            <w:r/>
            <w:r>
              <w:rPr>
                <w:rFonts w:ascii="Times New Roman" w:hAnsi="Times New Roman" w:eastAsia="宋体"/>
                <w:b w:val="0"/>
                <w:sz w:val="21"/>
              </w:rPr>
              <w:t>P3 完整</w:t>
            </w:r>
          </w:p>
        </w:tc>
        <w:tc>
          <w:tcPr>
            <w:tcW w:type="dxa" w:w="1660"/>
          </w:tcPr>
          <w:p>
            <w:r/>
            <w:r>
              <w:rPr>
                <w:rFonts w:ascii="Times New Roman" w:hAnsi="Times New Roman" w:eastAsia="宋体"/>
                <w:b w:val="0"/>
                <w:sz w:val="21"/>
              </w:rPr>
              <w:t>0.0000</w:t>
            </w:r>
          </w:p>
        </w:tc>
        <w:tc>
          <w:tcPr>
            <w:tcW w:type="dxa" w:w="1660"/>
          </w:tcPr>
          <w:p>
            <w:r/>
            <w:r>
              <w:rPr>
                <w:rFonts w:ascii="Times New Roman" w:hAnsi="Times New Roman" w:eastAsia="宋体"/>
                <w:b w:val="0"/>
                <w:sz w:val="21"/>
              </w:rPr>
              <w:t>0.754</w:t>
            </w:r>
          </w:p>
        </w:tc>
        <w:tc>
          <w:tcPr>
            <w:tcW w:type="dxa" w:w="1660"/>
          </w:tcPr>
          <w:p>
            <w:r/>
            <w:r>
              <w:rPr>
                <w:rFonts w:ascii="Times New Roman" w:hAnsi="Times New Roman" w:eastAsia="宋体"/>
                <w:b w:val="0"/>
                <w:sz w:val="21"/>
              </w:rPr>
              <w:t>2.35</w:t>
            </w:r>
          </w:p>
        </w:tc>
        <w:tc>
          <w:tcPr>
            <w:tcW w:type="dxa" w:w="1660"/>
          </w:tcPr>
          <w:p>
            <w:r/>
            <w:r>
              <w:rPr>
                <w:rFonts w:ascii="Times New Roman" w:hAnsi="Times New Roman" w:eastAsia="宋体"/>
                <w:b w:val="0"/>
                <w:sz w:val="21"/>
              </w:rPr>
              <w:t>3 s</w:t>
            </w:r>
          </w:p>
        </w:tc>
      </w:tr>
      <w:tr>
        <w:tc>
          <w:tcPr>
            <w:tcW w:type="dxa" w:w="1660"/>
          </w:tcPr>
          <w:p>
            <w:r/>
            <w:r>
              <w:rPr>
                <w:rFonts w:ascii="Times New Roman" w:hAnsi="Times New Roman" w:eastAsia="宋体"/>
                <w:b w:val="0"/>
                <w:sz w:val="21"/>
              </w:rPr>
              <w:t>去掉χ²完好性门</w:t>
            </w:r>
          </w:p>
        </w:tc>
        <w:tc>
          <w:tcPr>
            <w:tcW w:type="dxa" w:w="1660"/>
          </w:tcPr>
          <w:p>
            <w:r/>
            <w:r>
              <w:rPr>
                <w:rFonts w:ascii="Times New Roman" w:hAnsi="Times New Roman" w:eastAsia="宋体"/>
                <w:b w:val="0"/>
                <w:sz w:val="21"/>
              </w:rPr>
              <w:t>0.0000</w:t>
            </w:r>
          </w:p>
        </w:tc>
        <w:tc>
          <w:tcPr>
            <w:tcW w:type="dxa" w:w="1660"/>
          </w:tcPr>
          <w:p>
            <w:r/>
            <w:r>
              <w:rPr>
                <w:rFonts w:ascii="Times New Roman" w:hAnsi="Times New Roman" w:eastAsia="宋体"/>
                <w:b w:val="0"/>
                <w:sz w:val="21"/>
              </w:rPr>
              <w:t>0.702</w:t>
            </w:r>
          </w:p>
        </w:tc>
        <w:tc>
          <w:tcPr>
            <w:tcW w:type="dxa" w:w="1660"/>
          </w:tcPr>
          <w:p>
            <w:r/>
            <w:r>
              <w:rPr>
                <w:rFonts w:ascii="Times New Roman" w:hAnsi="Times New Roman" w:eastAsia="宋体"/>
                <w:b w:val="0"/>
                <w:sz w:val="21"/>
              </w:rPr>
              <w:t>2.19</w:t>
            </w:r>
          </w:p>
        </w:tc>
        <w:tc>
          <w:tcPr>
            <w:tcW w:type="dxa" w:w="1660"/>
          </w:tcPr>
          <w:p>
            <w:r/>
            <w:r>
              <w:rPr>
                <w:rFonts w:ascii="Times New Roman" w:hAnsi="Times New Roman" w:eastAsia="宋体"/>
                <w:b w:val="0"/>
                <w:sz w:val="21"/>
              </w:rPr>
              <w:t>76 s</w:t>
            </w:r>
          </w:p>
        </w:tc>
      </w:tr>
      <w:tr>
        <w:tc>
          <w:tcPr>
            <w:tcW w:type="dxa" w:w="1660"/>
          </w:tcPr>
          <w:p>
            <w:r/>
            <w:r>
              <w:rPr>
                <w:rFonts w:ascii="Times New Roman" w:hAnsi="Times New Roman" w:eastAsia="宋体"/>
                <w:b w:val="0"/>
                <w:sz w:val="21"/>
              </w:rPr>
              <w:t>去掉零速门</w:t>
            </w:r>
          </w:p>
        </w:tc>
        <w:tc>
          <w:tcPr>
            <w:tcW w:type="dxa" w:w="1660"/>
          </w:tcPr>
          <w:p>
            <w:r/>
            <w:r>
              <w:rPr>
                <w:rFonts w:ascii="Times New Roman" w:hAnsi="Times New Roman" w:eastAsia="宋体"/>
                <w:b w:val="0"/>
                <w:sz w:val="21"/>
              </w:rPr>
              <w:t>0.0000</w:t>
            </w:r>
          </w:p>
        </w:tc>
        <w:tc>
          <w:tcPr>
            <w:tcW w:type="dxa" w:w="1660"/>
          </w:tcPr>
          <w:p>
            <w:r/>
            <w:r>
              <w:rPr>
                <w:rFonts w:ascii="Times New Roman" w:hAnsi="Times New Roman" w:eastAsia="宋体"/>
                <w:b w:val="0"/>
                <w:sz w:val="21"/>
              </w:rPr>
              <w:t>0.754</w:t>
            </w:r>
          </w:p>
        </w:tc>
        <w:tc>
          <w:tcPr>
            <w:tcW w:type="dxa" w:w="1660"/>
          </w:tcPr>
          <w:p>
            <w:r/>
            <w:r>
              <w:rPr>
                <w:rFonts w:ascii="Times New Roman" w:hAnsi="Times New Roman" w:eastAsia="宋体"/>
                <w:b w:val="0"/>
                <w:sz w:val="21"/>
              </w:rPr>
              <w:t>2.35</w:t>
            </w:r>
          </w:p>
        </w:tc>
        <w:tc>
          <w:tcPr>
            <w:tcW w:type="dxa" w:w="1660"/>
          </w:tcPr>
          <w:p>
            <w:r/>
            <w:r>
              <w:rPr>
                <w:rFonts w:ascii="Times New Roman" w:hAnsi="Times New Roman" w:eastAsia="宋体"/>
                <w:b w:val="0"/>
                <w:sz w:val="21"/>
              </w:rPr>
              <w:t>3 s</w:t>
            </w:r>
          </w:p>
        </w:tc>
      </w:tr>
      <w:tr>
        <w:tc>
          <w:tcPr>
            <w:tcW w:type="dxa" w:w="1660"/>
          </w:tcPr>
          <w:p>
            <w:r/>
            <w:r>
              <w:rPr>
                <w:rFonts w:ascii="Times New Roman" w:hAnsi="Times New Roman" w:eastAsia="宋体"/>
                <w:b w:val="0"/>
                <w:sz w:val="21"/>
              </w:rPr>
              <w:t>窗口6→40历元</w:t>
            </w:r>
          </w:p>
        </w:tc>
        <w:tc>
          <w:tcPr>
            <w:tcW w:type="dxa" w:w="1660"/>
          </w:tcPr>
          <w:p>
            <w:r/>
            <w:r>
              <w:rPr>
                <w:rFonts w:ascii="Times New Roman" w:hAnsi="Times New Roman" w:eastAsia="宋体"/>
                <w:b w:val="0"/>
                <w:sz w:val="21"/>
              </w:rPr>
              <w:t>0.0000</w:t>
            </w:r>
          </w:p>
        </w:tc>
        <w:tc>
          <w:tcPr>
            <w:tcW w:type="dxa" w:w="1660"/>
          </w:tcPr>
          <w:p>
            <w:r/>
            <w:r>
              <w:rPr>
                <w:rFonts w:ascii="Times New Roman" w:hAnsi="Times New Roman" w:eastAsia="宋体"/>
                <w:b w:val="0"/>
                <w:sz w:val="21"/>
              </w:rPr>
              <w:t>0.752~0.755</w:t>
            </w:r>
          </w:p>
        </w:tc>
        <w:tc>
          <w:tcPr>
            <w:tcW w:type="dxa" w:w="1660"/>
          </w:tcPr>
          <w:p>
            <w:r/>
            <w:r>
              <w:rPr>
                <w:rFonts w:ascii="Times New Roman" w:hAnsi="Times New Roman" w:eastAsia="宋体"/>
                <w:b w:val="0"/>
                <w:sz w:val="21"/>
              </w:rPr>
              <w:t>2.35~2.36</w:t>
            </w:r>
          </w:p>
        </w:tc>
        <w:tc>
          <w:tcPr>
            <w:tcW w:type="dxa" w:w="1660"/>
          </w:tcPr>
          <w:p>
            <w:r/>
            <w:r>
              <w:rPr>
                <w:rFonts w:ascii="Times New Roman" w:hAnsi="Times New Roman" w:eastAsia="宋体"/>
                <w:b w:val="0"/>
                <w:sz w:val="21"/>
              </w:rPr>
              <w:t>3 s</w:t>
            </w:r>
          </w:p>
        </w:tc>
      </w:tr>
      <w:tr>
        <w:tc>
          <w:tcPr>
            <w:tcW w:type="dxa" w:w="1660"/>
          </w:tcPr>
          <w:p>
            <w:r/>
            <w:r>
              <w:rPr>
                <w:rFonts w:ascii="Times New Roman" w:hAnsi="Times New Roman" w:eastAsia="宋体"/>
                <w:b w:val="0"/>
                <w:sz w:val="21"/>
              </w:rPr>
              <w:t>HPL_max 2/4/8 m</w:t>
            </w:r>
          </w:p>
        </w:tc>
        <w:tc>
          <w:tcPr>
            <w:tcW w:type="dxa" w:w="1660"/>
          </w:tcPr>
          <w:p>
            <w:r/>
            <w:r>
              <w:rPr>
                <w:rFonts w:ascii="Times New Roman" w:hAnsi="Times New Roman" w:eastAsia="宋体"/>
                <w:b w:val="0"/>
                <w:sz w:val="21"/>
              </w:rPr>
              <w:t>0.0000</w:t>
            </w:r>
          </w:p>
        </w:tc>
        <w:tc>
          <w:tcPr>
            <w:tcW w:type="dxa" w:w="1660"/>
          </w:tcPr>
          <w:p>
            <w:r/>
            <w:r>
              <w:rPr>
                <w:rFonts w:ascii="Times New Roman" w:hAnsi="Times New Roman" w:eastAsia="宋体"/>
                <w:b w:val="0"/>
                <w:sz w:val="21"/>
              </w:rPr>
              <w:t>0.754~0.760</w:t>
            </w:r>
          </w:p>
        </w:tc>
        <w:tc>
          <w:tcPr>
            <w:tcW w:type="dxa" w:w="1660"/>
          </w:tcPr>
          <w:p>
            <w:r/>
            <w:r>
              <w:rPr>
                <w:rFonts w:ascii="Times New Roman" w:hAnsi="Times New Roman" w:eastAsia="宋体"/>
                <w:b w:val="0"/>
                <w:sz w:val="21"/>
              </w:rPr>
              <w:t>2.35~2.37</w:t>
            </w:r>
          </w:p>
        </w:tc>
        <w:tc>
          <w:tcPr>
            <w:tcW w:type="dxa" w:w="1660"/>
          </w:tcPr>
          <w:p>
            <w:r/>
            <w:r>
              <w:rPr>
                <w:rFonts w:ascii="Times New Roman" w:hAnsi="Times New Roman" w:eastAsia="宋体"/>
                <w:b w:val="0"/>
                <w:sz w:val="21"/>
              </w:rPr>
              <w:t>3~5 s</w:t>
            </w:r>
          </w:p>
        </w:tc>
      </w:tr>
    </w:tbl>
    <w:p>
      <w:pPr>
        <w:spacing w:line="240" w:lineRule="auto"/>
        <w:ind w:firstLine="480"/>
        <w:jc w:val="left"/>
      </w:pPr>
      <w:r>
        <w:rPr>
          <w:rFonts w:ascii="Times New Roman" w:hAnsi="Times New Roman" w:eastAsia="宋体"/>
          <w:b w:val="0"/>
          <w:sz w:val="24"/>
        </w:rPr>
        <w:t>两条结论：方法对超参数不敏感，因为判决依据是证据差与预算门限而非经验阈值；χ²门的价值不在压低误扣（本组数据去掉它误扣仍为0），而在防止用坏数据早判——去掉它以后最差定案时延由3 s恶化到76 s。零速门在本测试集上与χ²门高度重叠，其独立价值体现在“几何一致但物理不可能”的拖拽类攻击，属防御纵深而非主判据。</w:t>
      </w:r>
    </w:p>
    <w:p>
      <w:pPr>
        <w:spacing w:line="240" w:lineRule="auto"/>
        <w:ind w:firstLine="480"/>
        <w:jc w:val="left"/>
      </w:pPr>
      <w:r>
        <w:rPr>
          <w:rFonts w:ascii="Times New Roman" w:hAnsi="Times New Roman" w:eastAsia="宋体"/>
          <w:b w:val="0"/>
          <w:sz w:val="24"/>
        </w:rPr>
        <w:t>复现：python src/sim/run_pl_eval.py（约3分钟）与 python src/sim/make_figs_pl.py；数据见out/fence_metrics_pl.csv、out/pl_ablation.csv、out/pl_sweep.csv、out/pl_report.md，方法细节与失效模式清单见docs/创新点_PLTG_保护级感知可信围栏.md。全部数字由脚本生成，无手工填写。</w:t>
      </w:r>
    </w:p>
    <w:p>
      <w:pPr>
        <w:spacing w:line="240" w:lineRule="auto"/>
        <w:jc w:val="left"/>
      </w:pPr>
      <w:r>
        <w:rPr>
          <w:rFonts w:ascii="Times New Roman" w:hAnsi="Times New Roman" w:eastAsia="黑体"/>
          <w:b/>
          <w:sz w:val="24"/>
        </w:rPr>
        <w:t>五、应用前景</w:t>
      </w:r>
    </w:p>
    <w:p>
      <w:pPr>
        <w:spacing w:line="240" w:lineRule="auto"/>
        <w:ind w:firstLine="480"/>
        <w:jc w:val="left"/>
      </w:pPr>
      <w:r>
        <w:rPr>
          <w:rFonts w:ascii="Times New Roman" w:hAnsi="Times New Roman" w:eastAsia="宋体"/>
          <w:b w:val="0"/>
          <w:sz w:val="24"/>
        </w:rPr>
        <w:t>（1）用户体验：显著降低“停在停车点仍被扣费”的纠纷，提升平台口碑。（2）城市治理：在秩序与体验之间取得可量化平衡，便于向交管、城管展示数据。（3）运营降本：减少人工申诉处理量；不可信样本可定向用于信标补盲选址。（4）教学科研：可复现场景库支撑导航对抗与完好性实验。预期指标：误扣费率在典型多径场景下降一个数量级；三态输出时延满足锁控结算周期；场景库可扩展至≥10类剧本；边缘单元接口完整。</w:t>
      </w:r>
    </w:p>
    <w:p>
      <w:pPr>
        <w:spacing w:line="240" w:lineRule="auto"/>
        <w:jc w:val="left"/>
      </w:pPr>
      <w:r>
        <w:rPr>
          <w:rFonts w:ascii="Times New Roman" w:hAnsi="Times New Roman" w:eastAsia="黑体"/>
          <w:b/>
          <w:sz w:val="24"/>
        </w:rPr>
        <w:t>六、挑战性和不确定性</w:t>
      </w:r>
    </w:p>
    <w:p>
      <w:pPr>
        <w:spacing w:line="240" w:lineRule="auto"/>
        <w:ind w:firstLine="480"/>
        <w:jc w:val="left"/>
      </w:pPr>
      <w:r>
        <w:rPr>
          <w:rFonts w:ascii="Times New Roman" w:hAnsi="Times New Roman" w:eastAsia="宋体"/>
          <w:b w:val="0"/>
          <w:sz w:val="24"/>
        </w:rPr>
        <w:t>（1）科学层面：简化星座降低几何真实性，绝对误差量级需结合实采数据再标定；结论重点在于“相对改善与业务规则有效性”。（2）技术层面：阈值过松则漏判违停增多，过严则大量进入不扣费，需运营标定；可引入蓝牙信标仅对“不可信”样本复核以控制成本。（3）集成层面：锁控算力与功耗受限，Zynq演示版与低功耗MCU版本需权衡。（4）成本与进度：不依赖外设控制成本；上板录屏作为加分项而非提交门槛。（5）PLTG的已知边界：贴边不足1 m停车会长期落在模糊带；逐星独立且幅度小于噪声的智能欺骗本方法不承诺检出（属射频层，需验相关峰/多频）；锚点需与围栏ID绑定并做测距窗一致性校验，生产化还需加认证；车辆与卫星几何同时劣化时会自动降级为人工复核，此时业务成本由“误扣赔付”转为“复核人力”，需在运营侧继续标定。（6）零速先验要求“锁车即静止”，若运营方允许滑行推行计费，则该先验失效，需改用运动模型或仅保留χ²门与对偶检验。</w:t>
      </w:r>
    </w:p>
    <w:p>
      <w:pPr>
        <w:spacing w:line="240" w:lineRule="auto"/>
        <w:jc w:val="left"/>
      </w:pPr>
      <w:r>
        <w:rPr>
          <w:rFonts w:ascii="Times New Roman" w:hAnsi="Times New Roman" w:eastAsia="黑体"/>
          <w:b/>
          <w:sz w:val="24"/>
        </w:rPr>
        <w:t>参考文献</w:t>
      </w:r>
    </w:p>
    <w:p>
      <w:pPr>
        <w:spacing w:line="240" w:lineRule="auto" w:after="40"/>
        <w:jc w:val="left"/>
      </w:pPr>
      <w:r>
        <w:rPr>
          <w:rFonts w:ascii="Times New Roman" w:hAnsi="Times New Roman" w:eastAsia="宋体"/>
          <w:b w:val="0"/>
          <w:sz w:val="21"/>
        </w:rPr>
        <w:t>[1] 谢钢. GPS原理与接收机设计[M]. 北京: 电子工业出版社.</w:t>
      </w:r>
    </w:p>
    <w:p>
      <w:pPr>
        <w:spacing w:line="240" w:lineRule="auto" w:after="40"/>
        <w:jc w:val="left"/>
      </w:pPr>
      <w:r>
        <w:rPr>
          <w:rFonts w:ascii="Times New Roman" w:hAnsi="Times New Roman" w:eastAsia="宋体"/>
          <w:b w:val="0"/>
          <w:sz w:val="21"/>
        </w:rPr>
        <w:t>[2] Kaplan E D, Hegarty C J. Understanding GPS/GNSS: Principles and Applications[M]. 3rd ed.</w:t>
      </w:r>
    </w:p>
    <w:p>
      <w:pPr>
        <w:spacing w:line="240" w:lineRule="auto" w:after="40"/>
        <w:jc w:val="left"/>
      </w:pPr>
      <w:r>
        <w:rPr>
          <w:rFonts w:ascii="Times New Roman" w:hAnsi="Times New Roman" w:eastAsia="宋体"/>
          <w:b w:val="0"/>
          <w:sz w:val="21"/>
        </w:rPr>
        <w:t>[3] Parkinson B W, et al. Autonomous Integrity Monitoring Using GPS Pseudorange Measurements[J]. Navigation, 1988.</w:t>
      </w:r>
    </w:p>
    <w:p>
      <w:pPr>
        <w:spacing w:line="240" w:lineRule="auto" w:after="40"/>
        <w:jc w:val="left"/>
      </w:pPr>
      <w:r>
        <w:rPr>
          <w:rFonts w:ascii="Times New Roman" w:hAnsi="Times New Roman" w:eastAsia="宋体"/>
          <w:b w:val="0"/>
          <w:sz w:val="21"/>
        </w:rPr>
        <w:t>[4] Psiaki M L, Humphreys T E. GNSS Spoofing and Detection[J]. Proceedings of the IEEE, 2016.</w:t>
      </w:r>
    </w:p>
    <w:p>
      <w:pPr>
        <w:spacing w:line="240" w:lineRule="auto" w:after="40"/>
        <w:jc w:val="left"/>
      </w:pPr>
      <w:r>
        <w:rPr>
          <w:rFonts w:ascii="Times New Roman" w:hAnsi="Times New Roman" w:eastAsia="宋体"/>
          <w:b w:val="0"/>
          <w:sz w:val="21"/>
        </w:rPr>
        <w:t>[5] RTCA/EUROCAE. DO-229D: Minimum Operational Performance Standards for GPS/WAAS Navigation Equipment[S]. 2006.</w:t>
      </w:r>
    </w:p>
    <w:p>
      <w:pPr>
        <w:spacing w:line="240" w:lineRule="auto" w:after="40"/>
        <w:jc w:val="left"/>
      </w:pPr>
      <w:r>
        <w:rPr>
          <w:rFonts w:ascii="Times New Roman" w:hAnsi="Times New Roman" w:eastAsia="宋体"/>
          <w:b w:val="0"/>
          <w:sz w:val="21"/>
        </w:rPr>
        <w:t>[6] Sharma R, Groves P D. Aiding INS with Zero Velocity/Position Updates[C]. ION GNSS+, 2014.</w:t>
      </w:r>
    </w:p>
    <w:p>
      <w:pPr>
        <w:spacing w:line="240" w:lineRule="auto" w:after="40"/>
        <w:jc w:val="left"/>
      </w:pPr>
      <w:r>
        <w:rPr>
          <w:rFonts w:ascii="Times New Roman" w:hAnsi="Times New Roman" w:eastAsia="宋体"/>
          <w:b w:val="0"/>
          <w:sz w:val="21"/>
        </w:rPr>
        <w:t>[7] 北斗卫星导航系统空间信号接口控制文件（公开服务信号）.</w:t>
      </w:r>
    </w:p>
    <w:p>
      <w:pPr>
        <w:spacing w:line="240" w:lineRule="auto" w:after="40"/>
        <w:jc w:val="left"/>
      </w:pPr>
      <w:r>
        <w:rPr>
          <w:rFonts w:ascii="Times New Roman" w:hAnsi="Times New Roman" w:eastAsia="宋体"/>
          <w:b w:val="0"/>
          <w:sz w:val="21"/>
        </w:rPr>
        <w:t>[8] 交通运输部等. 关于鼓励和规范互联网租赁自行车发展的指导意见[Z].</w:t>
      </w:r>
    </w:p>
    <w:p>
      <w:pPr>
        <w:spacing w:line="240" w:lineRule="auto" w:after="40"/>
        <w:jc w:val="left"/>
      </w:pPr>
      <w:r>
        <w:rPr>
          <w:rFonts w:ascii="Times New Roman" w:hAnsi="Times New Roman" w:eastAsia="宋体"/>
          <w:b w:val="0"/>
          <w:sz w:val="21"/>
        </w:rPr>
        <w:t>[9] Xilinx. Zynq-7000 SoC Technical Reference Manual (UG585).</w:t>
      </w:r>
    </w:p>
    <w:p>
      <w:pPr>
        <w:spacing w:line="240" w:lineRule="auto" w:after="40"/>
        <w:jc w:val="left"/>
      </w:pPr>
      <w:r>
        <w:rPr>
          <w:rFonts w:ascii="Times New Roman" w:hAnsi="Times New Roman" w:eastAsia="宋体"/>
          <w:b w:val="0"/>
          <w:sz w:val="21"/>
        </w:rPr>
        <w:t>[10] 湖南省大学生智能导航科技创新大赛组委会. 第八届湖南省大学生智能导航科技创新大赛作品参赛规则, 2026.</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