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9"/>
            <w:bookmarkStart w:id="1" w:name="OLE_LINK10"/>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758"/>
        <w:gridCol w:w="5778"/>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600" w:lineRule="exact"/>
              <w:ind w:firstLine="0" w:firstLineChars="0"/>
              <w:rPr>
                <w:rFonts w:ascii="仿宋_GB2312" w:eastAsia="仿宋_GB2312"/>
                <w:bCs w:val="0"/>
                <w:color w:val="000000"/>
                <w:sz w:val="22"/>
                <w:szCs w:val="22"/>
              </w:rPr>
            </w:pP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朱灵</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6" w:firstLineChars="168"/>
        <w:jc w:val="left"/>
        <w:rPr>
          <w:rFonts w:ascii="仿宋_GB2312" w:eastAsia="仿宋_GB2312"/>
          <w:b/>
          <w:color w:val="000000"/>
          <w:sz w:val="30"/>
          <w:szCs w:val="30"/>
        </w:rPr>
      </w:pPr>
    </w:p>
    <w:p w14:paraId="13FA180B">
      <w:pPr>
        <w:ind w:firstLine="3162" w:firstLineChars="1050"/>
        <w:rPr>
          <w:rFonts w:ascii="仿宋_GB2312" w:eastAsia="仿宋_GB2312"/>
          <w:b/>
          <w:color w:val="000000"/>
          <w:sz w:val="30"/>
          <w:szCs w:val="30"/>
        </w:rPr>
      </w:pPr>
    </w:p>
    <w:p w14:paraId="7C790E06">
      <w:pPr>
        <w:ind w:firstLine="316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jc w:val="center"/>
              <w:rPr>
                <w:sz w:val="22"/>
              </w:rPr>
            </w:pPr>
            <w:r>
              <w:rPr>
                <w:rFonts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jc w:val="center"/>
              <w:rPr>
                <w:rFonts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朱灵</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r>
              <w:rPr>
                <w:rFonts w:hint="eastAsia" w:ascii="仿宋_GB2312" w:eastAsia="仿宋_GB2312"/>
                <w:sz w:val="22"/>
                <w:szCs w:val="22"/>
              </w:rPr>
              <w:t>无</w:t>
            </w: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13761056767</w:t>
            </w: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r>
              <w:rPr>
                <w:rFonts w:ascii="仿宋_GB2312" w:eastAsia="仿宋_GB2312"/>
                <w:sz w:val="22"/>
                <w:szCs w:val="22"/>
              </w:rPr>
              <w:t>wja808@126.com</w:t>
            </w: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spacing w:before="312" w:beforeLines="100" w:after="156" w:afterLines="50"/>
        <w:rPr>
          <w:b/>
          <w:sz w:val="32"/>
          <w:szCs w:val="32"/>
        </w:rPr>
      </w:pPr>
      <w:r>
        <w:rPr>
          <w:b/>
          <w:sz w:val="32"/>
          <w:szCs w:val="32"/>
        </w:rPr>
        <w:br w:type="page"/>
      </w:r>
      <w:r>
        <w:rPr>
          <w:rFonts w:hint="eastAsia"/>
          <w:b/>
          <w:sz w:val="32"/>
          <w:szCs w:val="32"/>
        </w:rPr>
        <w:t>二、项目申请理由</w:t>
      </w:r>
      <w:bookmarkStart w:id="4" w:name="_GoBack"/>
      <w:bookmarkEnd w:id="4"/>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rPr>
                <w:b/>
                <w:sz w:val="24"/>
              </w:rPr>
            </w:pPr>
            <w:r>
              <w:rPr>
                <w:rFonts w:hint="eastAsia"/>
                <w:sz w:val="22"/>
                <w:szCs w:val="22"/>
              </w:rPr>
              <w:tab/>
            </w:r>
            <w:r>
              <w:rPr>
                <w:rFonts w:hint="eastAsia"/>
                <w:b/>
                <w:sz w:val="24"/>
              </w:rPr>
              <w:t>项</w:t>
            </w:r>
          </w:p>
          <w:p w14:paraId="5D3BAE68">
            <w:pPr>
              <w:rPr>
                <w:b/>
                <w:sz w:val="24"/>
              </w:rPr>
            </w:pPr>
            <w:r>
              <w:rPr>
                <w:rFonts w:hint="eastAsia"/>
                <w:b/>
                <w:sz w:val="24"/>
              </w:rPr>
              <w:t>目</w:t>
            </w:r>
          </w:p>
          <w:p w14:paraId="559EC444">
            <w:pPr>
              <w:rPr>
                <w:b/>
                <w:sz w:val="24"/>
              </w:rPr>
            </w:pPr>
            <w:r>
              <w:rPr>
                <w:rFonts w:hint="eastAsia"/>
                <w:b/>
                <w:sz w:val="24"/>
              </w:rPr>
              <w:t>背景和</w:t>
            </w:r>
          </w:p>
          <w:p w14:paraId="46DC418A">
            <w:pPr>
              <w:rPr>
                <w:b/>
                <w:sz w:val="24"/>
              </w:rPr>
            </w:pPr>
            <w:r>
              <w:rPr>
                <w:rFonts w:hint="eastAsia"/>
                <w:b/>
                <w:sz w:val="24"/>
              </w:rPr>
              <w:t>意义</w:t>
            </w:r>
          </w:p>
        </w:tc>
        <w:tc>
          <w:tcPr>
            <w:tcW w:w="9459" w:type="dxa"/>
            <w:tcBorders>
              <w:bottom w:val="single" w:color="auto" w:sz="4" w:space="0"/>
            </w:tcBorders>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一、项目背景</w:t>
            </w:r>
          </w:p>
          <w:p w14:paraId="71453B6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哲学社会科学经典文本通常篇幅长、概念密度高、论证层次复杂，且高度依赖思想史、文本语境和作者的问题意识。对读者而言，真正的困难往往不只是“知道某一段说了什么”，而是需要同时处理四个相互关联的问题：</w:t>
            </w:r>
          </w:p>
          <w:p w14:paraId="32BF52D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14:paraId="2C29722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14:paraId="245D0D2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14:paraId="54D505C6">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14:paraId="180A21D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14:paraId="2CA599E8">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提出“智驱思阅”：一个以Agent为执行核心、以原文证据为约束、以读者编辑和复核为最终裁决的哲学社会科学辅助阅读工具。项目不以替代读者判断为目标，而是把长篇文本整理成可阅读、可追溯、可修改的辅助材料，让读者在全书、章节、段落和概念四个尺度之间来回切换，形成自己的理解。</w:t>
            </w:r>
          </w:p>
          <w:p w14:paraId="4A8B99AE">
            <w:pPr>
              <w:spacing w:line="300" w:lineRule="auto"/>
              <w:ind w:firstLine="480" w:firstLineChars="200"/>
              <w:rPr>
                <w:rFonts w:hint="eastAsia" w:ascii="仿宋_GB2312" w:hAnsi="仿宋_GB2312" w:eastAsia="仿宋_GB2312"/>
                <w:b w:val="0"/>
                <w:sz w:val="24"/>
              </w:rPr>
            </w:pPr>
          </w:p>
          <w:p w14:paraId="55CF6CD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14:paraId="3C3F478F">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1. 研究现状调研</w:t>
            </w:r>
          </w:p>
          <w:p w14:paraId="629DFA00">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（1）AI学术检索与文献发现工具</w:t>
            </w:r>
          </w:p>
          <w:p w14:paraId="0C58638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效率，但其核心目标仍是“找到资料”和“概括资料”，对单部经典著作的论证结构、章节推进、段落语义和概念网络缺少专门支持。</w:t>
            </w:r>
          </w:p>
          <w:p w14:paraId="2434355E">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14:paraId="6889026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也难以把所有结论稳定地绑回原文位置。对哲学社会科学阅读而言，回答“这段话是什么意思”并不等于完成“这本书如何论证”的理解。</w:t>
            </w:r>
          </w:p>
          <w:p w14:paraId="6FCC64B1">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（3）多Agent与工作流框架</w:t>
            </w:r>
          </w:p>
          <w:p w14:paraId="6C1C217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AutoGen、MetaGPT等框架支持多Agent角色分工、任务编排和工具调用，为复杂任务自动化提供了工程基础。但现有多Agent系统多按检索、生成、评估等功能划分角色，较少围绕“阅读工作本身的结构”组织任务，也普遍缺少对书籍数据、笔记数据和引用证据的统一约束。</w:t>
            </w:r>
          </w:p>
          <w:p w14:paraId="03F40A54">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14:paraId="121B27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14:paraId="384922A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2. 现有研究的不足</w:t>
            </w:r>
          </w:p>
          <w:p w14:paraId="4BD626B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14:paraId="684F6EE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w:t>
            </w:r>
            <w:r>
              <w:rPr>
                <w:rFonts w:ascii="仿宋_GB2312" w:hAnsi="仿宋_GB2312" w:eastAsia="仿宋_GB2312"/>
                <w:b/>
                <w:sz w:val="24"/>
              </w:rPr>
              <w:t>辅助内容与原文之间缺少稳定锚点。</w:t>
            </w:r>
            <w:r>
              <w:rPr>
                <w:rFonts w:ascii="仿宋_GB2312" w:hAnsi="仿宋_GB2312" w:eastAsia="仿宋_GB2312"/>
                <w:b w:val="0"/>
                <w:sz w:val="24"/>
              </w:rPr>
              <w:t xml:space="preserve"> 生成内容往往以自由文本返回，读者难以判断依据来自哪一章、哪一段、哪一句。</w:t>
            </w:r>
          </w:p>
          <w:p w14:paraId="1A491893">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w:t>
            </w:r>
            <w:r>
              <w:rPr>
                <w:rFonts w:ascii="仿宋_GB2312" w:hAnsi="仿宋_GB2312" w:eastAsia="仿宋_GB2312"/>
                <w:b/>
                <w:sz w:val="24"/>
              </w:rPr>
              <w:t>缺少面向长文本的分层工作空间。</w:t>
            </w:r>
            <w:r>
              <w:rPr>
                <w:rFonts w:ascii="仿宋_GB2312" w:hAnsi="仿宋_GB2312" w:eastAsia="仿宋_GB2312"/>
                <w:b w:val="0"/>
                <w:sz w:val="24"/>
              </w:rPr>
              <w:t xml:space="preserve"> 现有工具多为单轮问答或整篇摘要，无法让读者在全书、章节、段落、概念之间连续切换。</w:t>
            </w:r>
          </w:p>
          <w:p w14:paraId="4B87262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Agent能力缺少数据权限边界。</w:t>
            </w:r>
            <w:r>
              <w:rPr>
                <w:rFonts w:ascii="仿宋_GB2312" w:hAnsi="仿宋_GB2312" w:eastAsia="仿宋_GB2312"/>
                <w:b w:val="0"/>
                <w:sz w:val="24"/>
              </w:rPr>
              <w:t xml:space="preserve"> 通用Agent可以直接访问文件或数据库，容易混淆业务数据与模型执行；对于需要长期保存的书籍、笔记和对话，需要明确的数据所有权和访问边界。</w:t>
            </w:r>
          </w:p>
          <w:p w14:paraId="7C8A5CC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生成结果缺少人工复核流程。</w:t>
            </w:r>
            <w:r>
              <w:rPr>
                <w:rFonts w:ascii="仿宋_GB2312" w:hAnsi="仿宋_GB2312" w:eastAsia="仿宋_GB2312"/>
                <w:b w:val="0"/>
                <w:sz w:val="24"/>
              </w:rPr>
              <w:t xml:space="preserve"> 模型输出往往直接展示，缺少候选稿、待核稿、编辑、采纳和冲突处理机制，难以适配学术阅读对可靠性的要求。</w:t>
            </w:r>
          </w:p>
          <w:p w14:paraId="30FABE8C">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3. 调研结论</w:t>
            </w:r>
          </w:p>
          <w:p w14:paraId="7D0E6E6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因此，本项目的切入点是：</w:t>
            </w:r>
            <w:r>
              <w:rPr>
                <w:rFonts w:ascii="仿宋_GB2312" w:hAnsi="仿宋_GB2312" w:eastAsia="仿宋_GB2312"/>
                <w:b/>
                <w:sz w:val="24"/>
              </w:rPr>
              <w:t>从文本本身的层次结构和真实阅读任务出发，把全书、章节、段落、概念四个尺度组织为可操作的工作空间；以Agent承担分层生成任务，以原文证据约束生成内容，以读者复核保证最终质量。</w:t>
            </w:r>
            <w:r>
              <w:rPr>
                <w:rFonts w:ascii="仿宋_GB2312" w:hAnsi="仿宋_GB2312" w:eastAsia="仿宋_GB2312"/>
                <w:b w:val="0"/>
                <w:sz w:val="24"/>
              </w:rPr>
              <w:t xml:space="preserve"> 这既区别于通用问答工具，也区别于仅提供标注功能的传统阅读器。</w:t>
            </w:r>
          </w:p>
          <w:p w14:paraId="4B09156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三、项目的目标与意义</w:t>
            </w:r>
          </w:p>
          <w:p w14:paraId="34A2257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本项目的主要目标是：面向哲学社会科学经典文本，开发一套可在本地运行的辅助阅读工作台，完成从书籍导入、文本定位、分层生成、来源核验、人工复核到笔记与对话使用的完整闭环。</w:t>
            </w:r>
          </w:p>
          <w:p w14:paraId="4CFFF8F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14:paraId="6218AD7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14:paraId="16D750C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由多个承担不同阅读任务的Agent生成结构化辅助材料，支持任务排队、进度事件、取消、重试和结果复核；</w:t>
            </w:r>
          </w:p>
          <w:p w14:paraId="0D7579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14:paraId="76CEAF5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保留读者的最终控制权。</w:t>
            </w:r>
            <w:r>
              <w:rPr>
                <w:rFonts w:ascii="仿宋_GB2312" w:hAnsi="仿宋_GB2312" w:eastAsia="仿宋_GB2312"/>
                <w:b w:val="0"/>
                <w:sz w:val="24"/>
              </w:rPr>
              <w:t xml:space="preserve"> AI生成的内容先进入候选稿或待核稿区，读者可以编辑、修订、采纳或放弃，不把模型输出直接当作定论；</w:t>
            </w:r>
          </w:p>
          <w:p w14:paraId="31F48399">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形成可复用的工程底座。</w:t>
            </w:r>
            <w:r>
              <w:rPr>
                <w:rFonts w:ascii="仿宋_GB2312" w:hAnsi="仿宋_GB2312" w:eastAsia="仿宋_GB2312"/>
                <w:b w:val="0"/>
                <w:sz w:val="24"/>
              </w:rPr>
              <w:t xml:space="preserve"> 将书籍、笔记、对话、任务等业务数据保留在Server端，把模型执行放入独立Agent服务，通过版本化接口和受控工具连接，便于后续扩展与维护；</w:t>
            </w:r>
          </w:p>
          <w:p w14:paraId="7FDB136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开展小规模应用评估。</w:t>
            </w:r>
            <w:r>
              <w:rPr>
                <w:rFonts w:ascii="仿宋_GB2312" w:hAnsi="仿宋_GB2312" w:eastAsia="仿宋_GB2312"/>
                <w:b w:val="0"/>
                <w:sz w:val="24"/>
              </w:rPr>
              <w:t xml:space="preserve"> 通过专家评审和读者使用实验，检验工具对文本理解、论证把握和概念辨析的实际帮助。</w:t>
            </w:r>
          </w:p>
          <w:p w14:paraId="699165D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实践意义在于：为哲学社会科学经典阅读提供一个结构清晰、来源可查、可编辑的AI辅助环境，降低长文本阅读中的信息整理成本；同时为数字人文工具的设计提供一个“Agent执行、证据约束、读者复核”的可运行样例。</w:t>
            </w:r>
          </w:p>
          <w:p w14:paraId="23B4B8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rPr>
                <w:b/>
                <w:sz w:val="24"/>
              </w:rPr>
            </w:pPr>
            <w:r>
              <w:rPr>
                <w:rFonts w:hint="eastAsia"/>
                <w:sz w:val="22"/>
                <w:szCs w:val="22"/>
              </w:rPr>
              <w:tab/>
            </w: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numPr>
                <w:ilvl w:val="0"/>
                <w:numId w:val="0"/>
              </w:numPr>
              <w:spacing w:line="300" w:lineRule="auto"/>
              <w:ind w:left="0" w:leftChars="0" w:firstLineChars="20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14:paraId="1CD0402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项目团队由社会与公共管理学院学生组成，具备哲学社会科学阅读、社会科学研究方法和公共管理学科的基础训练，熟悉概念辨析、文本比较、论点提炼和论证分析等学习任务。</w:t>
            </w:r>
          </w:p>
          <w:p w14:paraId="6A612B3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在技术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能够把人文社科阅读需求转化为可实现的软件功能。</w:t>
            </w:r>
          </w:p>
          <w:p w14:paraId="43BD53C4">
            <w:pPr>
              <w:numPr>
                <w:ilvl w:val="0"/>
                <w:numId w:val="0"/>
              </w:numPr>
              <w:spacing w:line="300" w:lineRule="auto"/>
              <w:ind w:left="0" w:leftChars="0" w:firstLineChars="20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14:paraId="106E690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14:paraId="44B499D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1. </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14:paraId="73D2EF98">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2. </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3. </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4. </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14:paraId="245E95D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5. </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6. </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7. </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14:paraId="29FAD394">
            <w:pPr>
              <w:numPr>
                <w:ilvl w:val="0"/>
                <w:numId w:val="0"/>
              </w:numPr>
              <w:spacing w:line="300" w:lineRule="auto"/>
              <w:ind w:left="0" w:leftChars="0" w:firstLineChars="20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14:paraId="49727EC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Gutenberg等公开资源作为验证语料。开发环境已具备本地Python运行环境、浏览器测试环境和兼容OpenAI Chat Completions的模型服务接口，能够支撑原型迭代、离线测试和小规模用户实验。</w:t>
            </w:r>
          </w:p>
        </w:tc>
      </w:tr>
    </w:tbl>
    <w:p w14:paraId="25988E86">
      <w:pPr>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14:paraId="0A66CE8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四层阅读工作空间的设计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本项目把“阅读一部哲学社会科学著作”拆成四个互补的工作尺度。四层不是互斥的知识等级，也不是固定不变的线性流程，而是同一文本在不同尺度上的阅读任务：</w:t>
            </w:r>
          </w:p>
          <w:p w14:paraId="792D916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p>
          <w:p w14:paraId="7C7F11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p>
          <w:p w14:paraId="7E617D1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p>
          <w:p w14:paraId="1A2101D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p>
          <w:p w14:paraId="6BA830E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四层设计的文本学依据：</w:t>
            </w:r>
          </w:p>
          <w:p w14:paraId="1428C8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1. </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14:paraId="7A21468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2. </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14:paraId="3005A04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3. </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14:paraId="00F7E2E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4. </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14:paraId="4C4F9E4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14:paraId="2452372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2. Agent驱动的任务组织</w:t>
            </w:r>
          </w:p>
          <w:p w14:paraId="699527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14:paraId="2C59359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14:paraId="71587B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14:paraId="65C8E20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14:paraId="25F04EB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14:paraId="6389D6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14:paraId="6F958E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14:paraId="1FD830B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14:paraId="26F4FE92">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Server与Agent分离的工程结构</w:t>
            </w:r>
          </w:p>
          <w:p w14:paraId="0790822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14:paraId="03EA0B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14:paraId="2018A22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14:paraId="1C17F8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14:paraId="2E311A8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14:paraId="12D29F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14:paraId="3053595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这一结构的目标不是增加系统复杂度，而是明确数据权限、故障边界和可替换性：模型执行出现异常时，阅读和已有数据仍然可用；未来更换模型或Agent实现时，不需要重写阅读器和业务接口。</w:t>
            </w:r>
          </w:p>
          <w:p w14:paraId="46E71C7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4. 可追溯的生成与人工复核</w:t>
            </w:r>
          </w:p>
          <w:p w14:paraId="051282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为保证辅助内容不是“无依据的答案”，项目在生成和展示两个环节加入约束：</w:t>
            </w:r>
          </w:p>
          <w:p w14:paraId="4412D66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1. </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14:paraId="117B57E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2. </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14:paraId="5A700A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3. </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14:paraId="610F68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4. </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14:paraId="14D614D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5. </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14:paraId="61D914A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5. 原型系统与验证</w:t>
            </w:r>
          </w:p>
          <w:p w14:paraId="304C45C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14:paraId="5F2A89D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从书库导入EPUB/TXT并继续阅读；</w:t>
            </w:r>
          </w:p>
          <w:p w14:paraId="5EEE218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在目录、搜索、书签之间切换；</w:t>
            </w:r>
          </w:p>
          <w:p w14:paraId="3E87F9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触发全书、章节、段落或概念层任务，查看实时进度；</w:t>
            </w:r>
          </w:p>
          <w:p w14:paraId="0F4FFF1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查看段落旁注、概念解释和原文引用；</w:t>
            </w:r>
          </w:p>
          <w:p w14:paraId="6EB3A6A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在对话中引用原文、章节或多段材料，进行追问；</w:t>
            </w:r>
          </w:p>
          <w:p w14:paraId="0E9151D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编辑四层笔记，保存并导出；</w:t>
            </w:r>
          </w:p>
          <w:p w14:paraId="2B8A477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在任务面板中取消、重试、审阅和采纳候选稿；</w:t>
            </w:r>
          </w:p>
          <w:p w14:paraId="3B5057A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在设置页配置模型服务、密钥、超时和预算。</w:t>
            </w:r>
          </w:p>
          <w:p w14:paraId="4F66D43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研究重点：</w:t>
            </w:r>
          </w:p>
          <w:p w14:paraId="273964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四层任务之间的输入输出边界和上下文组织；</w:t>
            </w:r>
          </w:p>
          <w:p w14:paraId="1EB8966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生成长文本时的结构一致性、引用准确性和概念一致性；</w:t>
            </w:r>
          </w:p>
          <w:p w14:paraId="3832F33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Server与Agent之间的契约、权限、取消和恢复；</w:t>
            </w:r>
          </w:p>
          <w:p w14:paraId="258B7AF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读者如何理解、修改和信任AI生成的辅助内容。</w:t>
            </w:r>
          </w:p>
          <w:p w14:paraId="19FF7429">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研究难点：</w:t>
            </w:r>
          </w:p>
          <w:p w14:paraId="762C367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哲学社会科学文本的概念多义、隐喻表达和论证省略；</w:t>
            </w:r>
          </w:p>
          <w:p w14:paraId="03C997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长文本跨章节上下文的取舍与压缩；</w:t>
            </w:r>
          </w:p>
          <w:p w14:paraId="2A709D0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生成内容的稳定性、可核验性与幻觉抑制；</w:t>
            </w:r>
          </w:p>
          <w:p w14:paraId="6FAE2D8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辅助内容对阅读过程的实际帮助如何测量；</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在不替代读者判断的前提下设计合适的人机分工。</w:t>
            </w:r>
          </w:p>
          <w:p w14:paraId="5C795EC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研究思路与方法：</w:t>
            </w:r>
          </w:p>
          <w:p w14:paraId="673DC0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14:paraId="25B220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 通过文献调研、教师访谈和读者访谈确定四层任务的具体问题；</w:t>
            </w:r>
          </w:p>
          <w:p w14:paraId="2D7F394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 以真实经典文本为语料，按层实现任务和界面，完成小范围可用性测试；</w:t>
            </w:r>
          </w:p>
          <w:p w14:paraId="25D21B6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 邀请人文社科教师或研究生对生成内容进行准确性、有用性和证据充分性评审；</w:t>
            </w:r>
          </w:p>
          <w:p w14:paraId="5898766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 开展小规模读者实验，比较使用本工具与通用问答/摘要工具时的阅读表现和主观体验；</w:t>
            </w:r>
          </w:p>
          <w:p w14:paraId="7C76BFF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 根据反馈修正任务说明、输出结构、界面和评估指标，形成可复现的实验记录。</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rPr>
                <w:b/>
                <w:sz w:val="24"/>
                <w:szCs w:val="22"/>
              </w:rPr>
            </w:pPr>
            <w:r>
              <w:rPr>
                <w:rFonts w:hint="eastAsia"/>
                <w:b/>
                <w:sz w:val="24"/>
                <w:szCs w:val="22"/>
              </w:rPr>
              <w:t>项目创新点</w:t>
            </w:r>
          </w:p>
        </w:tc>
        <w:tc>
          <w:tcPr>
            <w:tcW w:w="9458" w:type="dxa"/>
          </w:tcPr>
          <w:p w14:paraId="0B8C2618">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1. 以阅读尺度组织Agent任务，而不是按通用功能堆叠</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工具多以“检索、摘要、问答”等功能组织AI能力，本项目以全书、章节、段落、概念四个阅读尺度组织任务。每个尺度对应不同的阅读问题、材料范围和输出结构，使Agent的服务对象从“泛化的问答”变成“具体的阅读工作”。</w:t>
            </w:r>
          </w:p>
          <w:p w14:paraId="41B25EAE">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2. 以原文证据约束生成，以读者复核完成闭环</w:t>
            </w:r>
          </w:p>
          <w:p w14:paraId="2F10C3E7">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不是让模型直接给出结论，而是要求生成内容尽量绑定章节、段落、指纹和引文，并通过候选稿、复核、采纳和冲突保护，把读者放在最终决策位置。这使AI输出从“可信口吻的答案”变成“可检查的阅读材料”。</w:t>
            </w:r>
          </w:p>
          <w:p w14:paraId="58FA76A2">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3. Server与Agent分离，明确数据所有权</w:t>
            </w:r>
          </w:p>
          <w:p w14:paraId="7E77816C">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14:paraId="6ED0EDFA">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4. 阅读、笔记、对话和任务共享同一套文本坐标</w:t>
            </w:r>
          </w:p>
          <w:p w14:paraId="294720E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tc>
      </w:tr>
    </w:tbl>
    <w:p w14:paraId="1ABD09AD">
      <w:pPr>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rPr>
                <w:b/>
                <w:sz w:val="24"/>
              </w:rPr>
            </w:pPr>
            <w:r>
              <w:rPr>
                <w:rFonts w:hint="eastAsia"/>
                <w:b/>
                <w:sz w:val="24"/>
                <w:szCs w:val="22"/>
              </w:rPr>
              <w:t>项目进度安排</w:t>
            </w:r>
          </w:p>
        </w:tc>
        <w:tc>
          <w:tcPr>
            <w:tcW w:w="9458" w:type="dxa"/>
          </w:tcPr>
          <w:p w14:paraId="7BE950AE">
            <w:pPr>
              <w:spacing w:line="300"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CF72A1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本项目总研究周期计划为12个月，基于现有原型继续迭代：</w:t>
            </w:r>
          </w:p>
          <w:p w14:paraId="3CE61FDF">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第1—2个月：文献调研与需求研究：调研AI辅助阅读、数字人文、文本标注和多Agent系统；访谈教师与读者；细化四层任务、输出结构和评估指标。</w:t>
            </w:r>
          </w:p>
          <w:p w14:paraId="1BE3C40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第3个月：阅读工作区与数据底座完善：完善EPUB/TXT导入、定位表、目录、搜索、书签和四层数据的读写；完成全书层与概念层的基础流程。</w:t>
            </w:r>
          </w:p>
          <w:p w14:paraId="6C9725A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第4个月：章节层与语义层完善：完善章节论证、段落旁注、句段关系和原文证据展示；建立层间上下文与一致性检查。</w:t>
            </w:r>
          </w:p>
          <w:p w14:paraId="686BCDA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第5—6个月：Agent服务与交互优化：完善Agent任务的队列、取消、重试、恢复、预算和SSE进度；完成候选稿、复核、采纳和冲突处理；优化阅读器交互。</w:t>
            </w:r>
          </w:p>
          <w:p w14:paraId="3C61625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第7—8个月：质量评估：使用3—5部经典著作进行内容覆盖、引用准确性和结构一致性检查；邀请专家评审；开展读者使用实验。</w:t>
            </w:r>
          </w:p>
          <w:p w14:paraId="1840345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第9—10个月：论文与竞赛准备：整理实验数据，撰写研究论文和竞赛材料；根据评审意见修正系统。</w:t>
            </w:r>
          </w:p>
          <w:p w14:paraId="28EFAEF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第11个月：成果整理：完善原型、编写使用文档、申请软件著作权、准备结题材料。</w:t>
            </w:r>
          </w:p>
          <w:p w14:paraId="0D106BC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第12个月：机动与收尾：补充实验、修复问题、完成结题答辩和成果推广。</w:t>
            </w:r>
          </w:p>
        </w:tc>
      </w:tr>
    </w:tbl>
    <w:p w14:paraId="4E6CAE65">
      <w:pPr>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rPr>
                <w:b/>
                <w:sz w:val="24"/>
                <w:szCs w:val="22"/>
              </w:rPr>
            </w:pPr>
            <w:r>
              <w:rPr>
                <w:rFonts w:hint="eastAsia"/>
                <w:b/>
                <w:sz w:val="24"/>
                <w:szCs w:val="22"/>
              </w:rPr>
              <w:t>项目实施的条件</w:t>
            </w:r>
          </w:p>
          <w:p w14:paraId="3FDCE1CA">
            <w:pPr>
              <w:rPr>
                <w:b/>
                <w:sz w:val="24"/>
              </w:rPr>
            </w:pPr>
            <w:r>
              <w:rPr>
                <w:rFonts w:hint="eastAsia"/>
                <w:b/>
                <w:sz w:val="24"/>
                <w:szCs w:val="22"/>
              </w:rPr>
              <w:t>和资源</w:t>
            </w:r>
          </w:p>
        </w:tc>
        <w:tc>
          <w:tcPr>
            <w:tcW w:w="9459" w:type="dxa"/>
          </w:tcPr>
          <w:p w14:paraId="17CEE896">
            <w:pPr>
              <w:spacing w:line="300"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14:paraId="46BAC62D">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14:paraId="2351ECEC">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项目使用兼容OpenAI Chat Completions的模型服务进行推理，可根据任务需要选择通义千问、DeepSeek等模型，并通过本地配置管理服务地址、模型名、密钥和请求预算。开发环境支持本地Server与独立Agent服务并行运行；如后续需要更大规模实验，可使用学校或云平台的GPU/CPU资源。</w:t>
            </w:r>
          </w:p>
          <w:p w14:paraId="51769F58">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（三）软件与技术条件</w:t>
            </w:r>
          </w:p>
          <w:p w14:paraId="006B3DF9">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rPr>
                <w:b/>
                <w:sz w:val="24"/>
                <w:szCs w:val="22"/>
              </w:rPr>
            </w:pPr>
            <w:r>
              <w:rPr>
                <w:rFonts w:hint="eastAsia"/>
                <w:b/>
                <w:sz w:val="24"/>
                <w:szCs w:val="22"/>
              </w:rPr>
              <w:t>项目</w:t>
            </w:r>
          </w:p>
          <w:p w14:paraId="42784965">
            <w:pPr>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14:paraId="10B8ACA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14:paraId="5FEF549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开源/演示材料：</w:t>
            </w:r>
            <w:r>
              <w:rPr>
                <w:rFonts w:ascii="仿宋_GB2312" w:hAnsi="仿宋_GB2312" w:eastAsia="仿宋_GB2312"/>
                <w:b w:val="0"/>
                <w:sz w:val="24"/>
              </w:rPr>
              <w:t xml:space="preserve"> 整理系统说明、接口文档、演示视频和使用手册，支持教学演示与后续研究。</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14:paraId="2C31AC3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14:paraId="17A9F0C9">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14:paraId="22A0EAF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jc w:val="center"/>
                    <w:rPr>
                      <w:rFonts w:ascii="仿宋_GB2312" w:hAnsi="宋体" w:eastAsia="仿宋_GB2312"/>
                      <w:bCs/>
                      <w:sz w:val="24"/>
                    </w:rPr>
                  </w:pP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1200</w:t>
                  </w:r>
                </w:p>
              </w:tc>
              <w:tc>
                <w:tcPr>
                  <w:tcW w:w="4666" w:type="dxa"/>
                  <w:vAlign w:val="center"/>
                </w:tcPr>
                <w:p w14:paraId="28055CFA">
                  <w:pPr>
                    <w:numPr>
                      <w:ilvl w:val="0"/>
                      <w:numId w:val="1"/>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1000</w:t>
                  </w:r>
                </w:p>
              </w:tc>
              <w:tc>
                <w:tcPr>
                  <w:tcW w:w="4666" w:type="dxa"/>
                </w:tcPr>
                <w:p w14:paraId="5C4F707A">
                  <w:pPr>
                    <w:numPr>
                      <w:ilvl w:val="0"/>
                      <w:numId w:val="2"/>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p>
              </w:tc>
            </w:tr>
          </w:tbl>
          <w:p w14:paraId="489B8C5C">
            <w:pPr>
              <w:spacing w:line="300" w:lineRule="auto"/>
              <w:rPr>
                <w:rFonts w:ascii="宋体" w:hAnsi="宋体"/>
                <w:sz w:val="24"/>
              </w:rPr>
            </w:pPr>
          </w:p>
        </w:tc>
      </w:tr>
    </w:tbl>
    <w:p w14:paraId="3508784A">
      <w:pPr>
        <w:spacing w:before="312" w:beforeLines="100" w:after="156" w:afterLines="50"/>
        <w:rPr>
          <w:b/>
          <w:sz w:val="32"/>
          <w:szCs w:val="32"/>
        </w:rPr>
      </w:pPr>
      <w:r>
        <w:rPr>
          <w:rFonts w:hint="eastAsia"/>
          <w:b/>
          <w:sz w:val="32"/>
          <w:szCs w:val="32"/>
        </w:rPr>
        <w:t>八、指导老师意见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4A4613DC">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指导教师意见及指导计划：</w:t>
            </w:r>
          </w:p>
          <w:p w14:paraId="10F39E8D">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项目面向哲学社会科学经典文本的深度阅读，将Agent技术、原文证据和读者复核结合起来，具有明确的学科交叉性和应用价值。项目已完成可运行原型，技术路线清晰，具备继续迭代和开展小规模评估的基础。</w:t>
            </w:r>
          </w:p>
          <w:p w14:paraId="57E16795">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ascii="仿宋_GB2312" w:hAnsi="仿宋_GB2312" w:eastAsia="仿宋_GB2312"/>
                <w:b/>
                <w:sz w:val="24"/>
              </w:rPr>
              <w:t>2026年10月</w:t>
            </w:r>
          </w:p>
        </w:tc>
      </w:tr>
    </w:tbl>
    <w:p w14:paraId="01715611">
      <w:pPr>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1  </w:t>
      </w:r>
      <w:r>
        <w:rPr>
          <w:rFonts w:hint="eastAsia" w:ascii="仿宋_GB2312" w:eastAsia="仿宋_GB2312"/>
          <w:sz w:val="24"/>
        </w:rPr>
        <w:t>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2  </w:t>
      </w:r>
      <w:r>
        <w:rPr>
          <w:rFonts w:hint="eastAsia" w:ascii="仿宋_GB2312" w:hAnsi="宋体" w:eastAsia="仿宋_GB2312"/>
          <w:snapToGrid w:val="0"/>
          <w:color w:val="000000"/>
          <w:kern w:val="0"/>
          <w:sz w:val="24"/>
          <w:szCs w:val="23"/>
        </w:rPr>
        <w:t>项目经费严格按学校</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项目管理的有关规定执行，按照专款专用原则，</w:t>
      </w:r>
      <w:r>
        <w:rPr>
          <w:rFonts w:hint="eastAsia" w:ascii="仿宋_GB2312" w:eastAsia="仿宋_GB2312"/>
          <w:sz w:val="24"/>
        </w:rPr>
        <w:t>保证项目经费的有效合理使用</w:t>
      </w:r>
      <w:r>
        <w:rPr>
          <w:rFonts w:hint="eastAsia" w:ascii="仿宋_GB2312" w:hAnsi="宋体" w:eastAsia="仿宋_GB2312"/>
          <w:snapToGrid w:val="0"/>
          <w:color w:val="000000"/>
          <w:kern w:val="0"/>
          <w:sz w:val="24"/>
          <w:szCs w:val="23"/>
        </w:rPr>
        <w:t>；</w:t>
      </w:r>
      <w:r>
        <w:rPr>
          <w:rFonts w:hint="eastAsia" w:ascii="仿宋_GB2312" w:eastAsia="仿宋_GB2312"/>
          <w:snapToGrid w:val="0"/>
          <w:color w:val="000000"/>
          <w:kern w:val="0"/>
          <w:sz w:val="24"/>
          <w:szCs w:val="23"/>
        </w:rPr>
        <w:t xml:space="preserve"> </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3  </w:t>
      </w:r>
      <w:r>
        <w:rPr>
          <w:rFonts w:hint="eastAsia" w:ascii="仿宋_GB2312" w:hAnsi="宋体" w:eastAsia="仿宋_GB2312"/>
          <w:snapToGrid w:val="0"/>
          <w:color w:val="000000"/>
          <w:kern w:val="0"/>
          <w:sz w:val="24"/>
          <w:szCs w:val="23"/>
        </w:rPr>
        <w:t>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w:t>
      </w:r>
      <w:r>
        <w:rPr>
          <w:rFonts w:hint="eastAsia" w:ascii="仿宋_GB2312" w:hAnsi="宋体" w:eastAsia="仿宋_GB2312"/>
          <w:snapToGrid w:val="0"/>
          <w:color w:val="000000"/>
          <w:kern w:val="0"/>
          <w:sz w:val="24"/>
          <w:szCs w:val="23"/>
        </w:rPr>
        <w:t>．</w:t>
      </w:r>
      <w:r>
        <w:rPr>
          <w:rFonts w:hint="eastAsia" w:ascii="仿宋_GB2312" w:eastAsia="仿宋_GB2312"/>
          <w:sz w:val="24"/>
        </w:rPr>
        <w:t>保证研究项目的有序进行，并按华东理工大学“大学生创新创业训练计划”项目管理办法的要求</w:t>
      </w:r>
      <w:r>
        <w:rPr>
          <w:rFonts w:hint="eastAsia" w:ascii="仿宋_GB2312" w:hAnsi="宋体" w:eastAsia="仿宋_GB2312"/>
          <w:sz w:val="24"/>
        </w:rPr>
        <w:t>，接受学校的中期检查。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 xml:space="preserve">5  </w:t>
      </w:r>
      <w:r>
        <w:rPr>
          <w:rFonts w:hint="eastAsia" w:ascii="仿宋_GB2312" w:hAnsi="宋体" w:eastAsia="仿宋_GB2312"/>
          <w:sz w:val="24"/>
        </w:rPr>
        <w:t>按期完成研究项目</w:t>
      </w:r>
      <w:r>
        <w:rPr>
          <w:rFonts w:hint="eastAsia" w:ascii="仿宋_GB2312" w:hAnsi="宋体" w:eastAsia="仿宋_GB2312"/>
          <w:sz w:val="24"/>
          <w:szCs w:val="23"/>
        </w:rPr>
        <w:t>并由负责人提交结题报告及有关研究成果、</w:t>
      </w:r>
      <w:r>
        <w:rPr>
          <w:rFonts w:hint="eastAsia" w:ascii="仿宋_GB2312" w:hAnsi="宋体" w:eastAsia="仿宋_GB2312"/>
          <w:snapToGrid w:val="0"/>
          <w:color w:val="000000"/>
          <w:kern w:val="0"/>
          <w:sz w:val="24"/>
          <w:szCs w:val="23"/>
        </w:rPr>
        <w:t>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6  </w:t>
      </w:r>
      <w:r>
        <w:rPr>
          <w:rFonts w:hint="eastAsia" w:ascii="仿宋_GB2312" w:hAnsi="宋体" w:eastAsia="仿宋_GB2312"/>
          <w:snapToGrid w:val="0"/>
          <w:color w:val="000000"/>
          <w:kern w:val="0"/>
          <w:sz w:val="24"/>
          <w:szCs w:val="23"/>
        </w:rPr>
        <w:t>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7  </w:t>
      </w:r>
      <w:r>
        <w:rPr>
          <w:rFonts w:hint="eastAsia" w:ascii="仿宋_GB2312" w:hAnsi="宋体" w:eastAsia="仿宋_GB2312"/>
          <w:snapToGrid w:val="0"/>
          <w:color w:val="000000"/>
          <w:kern w:val="0"/>
          <w:sz w:val="24"/>
          <w:szCs w:val="23"/>
        </w:rPr>
        <w:t>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8  </w:t>
      </w:r>
      <w:r>
        <w:rPr>
          <w:rFonts w:hint="eastAsia" w:ascii="仿宋_GB2312" w:hAnsi="宋体" w:eastAsia="仿宋_GB2312"/>
          <w:snapToGrid w:val="0"/>
          <w:color w:val="000000"/>
          <w:kern w:val="0"/>
          <w:sz w:val="24"/>
          <w:szCs w:val="23"/>
        </w:rPr>
        <w:t>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9  </w:t>
      </w:r>
      <w:r>
        <w:rPr>
          <w:rFonts w:hint="eastAsia" w:ascii="仿宋_GB2312" w:hAnsi="宋体" w:eastAsia="仿宋_GB2312"/>
          <w:snapToGrid w:val="0"/>
          <w:color w:val="000000"/>
          <w:kern w:val="0"/>
          <w:sz w:val="24"/>
          <w:szCs w:val="23"/>
        </w:rPr>
        <w:t>本承诺书由本项目全体成员及指导老师签字并经创新创业学院确认后生效，如有违反，愿承担相应责任。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7"/>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1312"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8"/>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2" w:firstLineChars="200"/>
        <w:rPr>
          <w:rFonts w:ascii="仿宋_GB2312" w:eastAsia="仿宋_GB2312"/>
          <w:snapToGrid w:val="0"/>
          <w:color w:val="000000"/>
          <w:kern w:val="0"/>
          <w:sz w:val="24"/>
          <w:szCs w:val="23"/>
        </w:rPr>
      </w:pPr>
      <w:r>
        <w:rPr>
          <w:rFonts w:hint="eastAsia" w:ascii="仿宋_GB2312" w:hAnsi="宋体" w:eastAsia="仿宋_GB2312"/>
          <w:b/>
          <w:sz w:val="24"/>
          <w:woUserID w:val="1"/>
        </w:rPr>
        <w:drawing>
          <wp:anchor distT="0" distB="0" distL="114300" distR="114300" simplePos="0" relativeHeight="251659264" behindDoc="0" locked="0" layoutInCell="1" allowOverlap="1">
            <wp:simplePos x="0" y="0"/>
            <wp:positionH relativeFrom="column">
              <wp:posOffset>1748155</wp:posOffset>
            </wp:positionH>
            <wp:positionV relativeFrom="paragraph">
              <wp:posOffset>142875</wp:posOffset>
            </wp:positionV>
            <wp:extent cx="1205230" cy="521970"/>
            <wp:effectExtent l="0" t="0" r="13970" b="1206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205230" cy="521970"/>
                    </a:xfrm>
                    <a:prstGeom prst="rect">
                      <a:avLst/>
                    </a:prstGeom>
                  </pic:spPr>
                </pic:pic>
              </a:graphicData>
            </a:graphic>
          </wp:anchor>
        </w:drawing>
      </w: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3" w:type="default"/>
      <w:footerReference r:id="rId4" w:type="default"/>
      <w:footerReference r:id="rId5"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楷体"/>
    <w:panose1 w:val="02010600040101010101"/>
    <w:charset w:val="86"/>
    <w:family w:val="auto"/>
    <w:pitch w:val="default"/>
    <w:sig w:usb0="00000000" w:usb1="0000000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粗宋简体">
    <w:altName w:val="宋体"/>
    <w:panose1 w:val="020B0604020202020204"/>
    <w:charset w:val="86"/>
    <w:family w:val="script"/>
    <w:pitch w:val="default"/>
    <w:sig w:usb0="00000000" w:usb1="00000000" w:usb2="0000001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GulimChe">
    <w:altName w:val="Malgun Gothic"/>
    <w:panose1 w:val="020B0609000101010101"/>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华文隶书">
    <w:altName w:val="微软雅黑"/>
    <w:panose1 w:val="02010800040101010101"/>
    <w:charset w:val="86"/>
    <w:family w:val="auto"/>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BAC86DC"/>
    <w:rsid w:val="1AFF793B"/>
    <w:rsid w:val="1E9D18DD"/>
    <w:rsid w:val="1FFE54BA"/>
    <w:rsid w:val="1FFF66C4"/>
    <w:rsid w:val="21DB58AF"/>
    <w:rsid w:val="2220579D"/>
    <w:rsid w:val="285FE06B"/>
    <w:rsid w:val="2A7BCD8C"/>
    <w:rsid w:val="2B9B9488"/>
    <w:rsid w:val="2BEBDF3E"/>
    <w:rsid w:val="2FFF8F50"/>
    <w:rsid w:val="34382EF5"/>
    <w:rsid w:val="34BE2AD3"/>
    <w:rsid w:val="36FB232F"/>
    <w:rsid w:val="392C35FE"/>
    <w:rsid w:val="3AFF876D"/>
    <w:rsid w:val="3B7F639B"/>
    <w:rsid w:val="3BD5BBAD"/>
    <w:rsid w:val="3BFE5246"/>
    <w:rsid w:val="3DBA7A2F"/>
    <w:rsid w:val="3DFBBC1F"/>
    <w:rsid w:val="3E81B516"/>
    <w:rsid w:val="3F8BFBB6"/>
    <w:rsid w:val="3FBDBB3D"/>
    <w:rsid w:val="3FBFFBD0"/>
    <w:rsid w:val="3FDF3177"/>
    <w:rsid w:val="3FEAE312"/>
    <w:rsid w:val="3FF397EC"/>
    <w:rsid w:val="45EB30D3"/>
    <w:rsid w:val="48D77D78"/>
    <w:rsid w:val="48F37A43"/>
    <w:rsid w:val="4B1C7B4A"/>
    <w:rsid w:val="4BA65662"/>
    <w:rsid w:val="4BFF1F3A"/>
    <w:rsid w:val="4DF7894B"/>
    <w:rsid w:val="4EE78784"/>
    <w:rsid w:val="4EFD6B0E"/>
    <w:rsid w:val="4F57EB53"/>
    <w:rsid w:val="4FFF30AA"/>
    <w:rsid w:val="513DD22D"/>
    <w:rsid w:val="55B2950C"/>
    <w:rsid w:val="55F6F0D5"/>
    <w:rsid w:val="597DE035"/>
    <w:rsid w:val="5B9F8520"/>
    <w:rsid w:val="5BDE7F40"/>
    <w:rsid w:val="5BFF7D07"/>
    <w:rsid w:val="5D190116"/>
    <w:rsid w:val="5D7D1AB7"/>
    <w:rsid w:val="5EF791BE"/>
    <w:rsid w:val="5EFB182D"/>
    <w:rsid w:val="5EFE47D2"/>
    <w:rsid w:val="5F91E8E8"/>
    <w:rsid w:val="5FBFEE01"/>
    <w:rsid w:val="5FDFEF2D"/>
    <w:rsid w:val="63FF6BF4"/>
    <w:rsid w:val="65E25799"/>
    <w:rsid w:val="67EB07E5"/>
    <w:rsid w:val="67F4DA10"/>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F688C2"/>
    <w:rsid w:val="7AEFBA30"/>
    <w:rsid w:val="7B5E859C"/>
    <w:rsid w:val="7B6FCDF4"/>
    <w:rsid w:val="7B874A43"/>
    <w:rsid w:val="7BCFECF3"/>
    <w:rsid w:val="7BDFDC20"/>
    <w:rsid w:val="7BF7EAE8"/>
    <w:rsid w:val="7BFBFD73"/>
    <w:rsid w:val="7C6D8E58"/>
    <w:rsid w:val="7CF7C945"/>
    <w:rsid w:val="7D1D09AA"/>
    <w:rsid w:val="7DABD1C3"/>
    <w:rsid w:val="7DD532F2"/>
    <w:rsid w:val="7DE725D8"/>
    <w:rsid w:val="7EBE5227"/>
    <w:rsid w:val="7EFF002F"/>
    <w:rsid w:val="7F2FA83D"/>
    <w:rsid w:val="7F6EB37A"/>
    <w:rsid w:val="7F8314DB"/>
    <w:rsid w:val="7FBFAA0D"/>
    <w:rsid w:val="7FDFAAD3"/>
    <w:rsid w:val="7FE7BF8D"/>
    <w:rsid w:val="7FF3BFA2"/>
    <w:rsid w:val="7FF66588"/>
    <w:rsid w:val="7FF7CD70"/>
    <w:rsid w:val="7FFBB598"/>
    <w:rsid w:val="7FFCC087"/>
    <w:rsid w:val="7FFD2140"/>
    <w:rsid w:val="7FFEADFA"/>
    <w:rsid w:val="8D7DEF8E"/>
    <w:rsid w:val="92DFB9D2"/>
    <w:rsid w:val="93FE209D"/>
    <w:rsid w:val="975A63D8"/>
    <w:rsid w:val="A565D13E"/>
    <w:rsid w:val="B55FF308"/>
    <w:rsid w:val="B6FCF7F3"/>
    <w:rsid w:val="B7AD03C7"/>
    <w:rsid w:val="B7F73E21"/>
    <w:rsid w:val="B8BDD585"/>
    <w:rsid w:val="B8DF3AA6"/>
    <w:rsid w:val="B9DFBC6B"/>
    <w:rsid w:val="BB7D36CA"/>
    <w:rsid w:val="BBAF03B8"/>
    <w:rsid w:val="BDF1C0AD"/>
    <w:rsid w:val="BEDE7A65"/>
    <w:rsid w:val="BFA36EEC"/>
    <w:rsid w:val="BFBFA5D7"/>
    <w:rsid w:val="BFFF89FD"/>
    <w:rsid w:val="C789145B"/>
    <w:rsid w:val="CF5E5EC1"/>
    <w:rsid w:val="CFEEC0C9"/>
    <w:rsid w:val="D6ECCE29"/>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FE4EE1"/>
    <w:rsid w:val="EFFEE3FA"/>
    <w:rsid w:val="F29A2584"/>
    <w:rsid w:val="F42FACAA"/>
    <w:rsid w:val="F59EB532"/>
    <w:rsid w:val="F5ECE6F9"/>
    <w:rsid w:val="F64CA1D3"/>
    <w:rsid w:val="F6F35431"/>
    <w:rsid w:val="F6FB6076"/>
    <w:rsid w:val="F6FB8C28"/>
    <w:rsid w:val="F77BF6C2"/>
    <w:rsid w:val="F7AEC97C"/>
    <w:rsid w:val="F7BF8A5C"/>
    <w:rsid w:val="F7D760F9"/>
    <w:rsid w:val="F9BC83D9"/>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uiPriority w:val="0"/>
    <w:rPr>
      <w:sz w:val="18"/>
      <w:szCs w:val="18"/>
    </w:rPr>
  </w:style>
  <w:style w:type="character" w:customStyle="1" w:styleId="34">
    <w:name w:val="脚注文本 Char"/>
    <w:link w:val="12"/>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15</Pages>
  <Words>9782</Words>
  <Characters>10516</Characters>
  <Lines>614</Lines>
  <Paragraphs>256</Paragraphs>
  <TotalTime>10</TotalTime>
  <ScaleCrop>false</ScaleCrop>
  <LinksUpToDate>false</LinksUpToDate>
  <CharactersWithSpaces>10845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2026-04-11T04:26:00Z</dcterms:created>
  <dc:creator>张文超、张博文</dc:creator>
  <cp:lastModifiedBy>吴涵</cp:lastModifiedBy>
  <cp:lastPrinted>2009-10-12T22:31:00Z</cp:lastPrinted>
  <dcterms:modified xsi:type="dcterms:W3CDTF">2026-10-19T17:04:56Z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AAD02C77FC1B44749C8BC315E5D8453F_13</vt:lpwstr>
  </property>
  <property fmtid="{D5CDD505-2E9C-101B-9397-08002B2CF9AE}" pid="4" name="KSOTemplateDocerSaveRecord">
    <vt:lpwstr>eyJoZGlkIjoiYWMxNzNiZGFjYmIxYmQ2YjkwNmQwOWFjNDZkYWRmZjYiLCJ1c2VySWQiOiIxNzg5MTc0MjM2In0=</vt:lpwstr>
  </property>
</Properties>
</file>