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margin" w:tblpXSpec="right" w:tblpY="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884"/>
      </w:tblGrid>
      <w:tr w14:paraId="3ACA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16" w:type="dxa"/>
          </w:tcPr>
          <w:p w14:paraId="4B30597B">
            <w:pPr>
              <w:rPr>
                <w:rFonts w:ascii="仿宋_GB2312" w:hAnsi="宋体" w:eastAsia="仿宋_GB2312"/>
                <w:sz w:val="28"/>
              </w:rPr>
            </w:pPr>
            <w:bookmarkStart w:id="0" w:name="OLE_LINK10"/>
            <w:bookmarkStart w:id="1" w:name="OLE_LINK9"/>
            <w:r>
              <w:rPr>
                <w:rFonts w:hint="eastAsia" w:ascii="仿宋_GB2312" w:hAnsi="宋体" w:eastAsia="仿宋_GB2312"/>
                <w:sz w:val="28"/>
              </w:rPr>
              <w:t>项目编号</w:t>
            </w:r>
          </w:p>
        </w:tc>
        <w:tc>
          <w:tcPr>
            <w:tcW w:w="1884" w:type="dxa"/>
          </w:tcPr>
          <w:p w14:paraId="18E5967B">
            <w:pPr>
              <w:rPr>
                <w:rFonts w:ascii="宋体" w:hAnsi="宋体"/>
                <w:sz w:val="28"/>
              </w:rPr>
            </w:pPr>
          </w:p>
        </w:tc>
      </w:tr>
    </w:tbl>
    <w:p w14:paraId="0E88475E">
      <w:pPr>
        <w:pStyle w:val="15"/>
        <w:spacing w:before="0" w:beforeAutospacing="0" w:after="0" w:afterAutospacing="0"/>
        <w:rPr>
          <w:rFonts w:ascii="仿宋_GB2312" w:eastAsia="仿宋_GB2312"/>
          <w:sz w:val="32"/>
          <w:szCs w:val="32"/>
        </w:rPr>
      </w:pPr>
    </w:p>
    <w:p w14:paraId="1D268C29">
      <w:pPr>
        <w:spacing w:after="624" w:afterLines="200"/>
        <w:jc w:val="left"/>
        <w:rPr>
          <w:rFonts w:ascii="华文中宋" w:hAnsi="华文中宋" w:eastAsia="华文中宋"/>
          <w:b/>
          <w:sz w:val="48"/>
          <w:szCs w:val="48"/>
        </w:rPr>
      </w:pPr>
    </w:p>
    <w:p w14:paraId="6ADBBE69">
      <w:pPr>
        <w:jc w:val="center"/>
        <w:rPr>
          <w:rFonts w:ascii="方正粗宋简体" w:hAnsi="华文中宋" w:eastAsia="方正粗宋简体"/>
          <w:sz w:val="64"/>
          <w:szCs w:val="64"/>
        </w:rPr>
      </w:pPr>
      <w:r>
        <w:rPr>
          <w:rFonts w:hint="eastAsia" w:ascii="方正粗宋简体" w:hAnsi="华文中宋" w:eastAsia="方正粗宋简体"/>
          <w:sz w:val="64"/>
          <w:szCs w:val="64"/>
        </w:rPr>
        <w:t>华 东 理 工 大 学</w:t>
      </w:r>
    </w:p>
    <w:p w14:paraId="0B24A0DC">
      <w:pPr>
        <w:spacing w:before="468" w:beforeLines="150"/>
        <w:jc w:val="center"/>
        <w:rPr>
          <w:rFonts w:ascii="华文楷体" w:hAnsi="华文楷体" w:eastAsia="华文楷体"/>
          <w:b/>
          <w:sz w:val="60"/>
          <w:szCs w:val="60"/>
        </w:rPr>
      </w:pPr>
      <w:r>
        <w:rPr>
          <w:rFonts w:hint="eastAsia" w:ascii="华文楷体" w:hAnsi="华文楷体" w:eastAsia="华文楷体"/>
          <w:b/>
          <w:sz w:val="56"/>
          <w:szCs w:val="48"/>
        </w:rPr>
        <w:t>大学生创新创业训练计划创新训练类</w:t>
      </w:r>
      <w:r>
        <w:rPr>
          <w:rFonts w:hint="eastAsia" w:ascii="华文楷体" w:hAnsi="华文楷体" w:eastAsia="华文楷体"/>
          <w:b/>
          <w:sz w:val="56"/>
          <w:szCs w:val="56"/>
        </w:rPr>
        <w:t>项目申报书</w:t>
      </w:r>
    </w:p>
    <w:p w14:paraId="173BBBD1">
      <w:pPr>
        <w:jc w:val="center"/>
        <w:rPr>
          <w:rFonts w:ascii="华文中宋" w:hAnsi="华文中宋" w:eastAsia="华文中宋"/>
          <w:b/>
          <w:sz w:val="72"/>
          <w:szCs w:val="72"/>
        </w:rPr>
      </w:pPr>
    </w:p>
    <w:p w14:paraId="69A0F4A0">
      <w:pPr>
        <w:ind w:firstLine="960" w:firstLineChars="300"/>
        <w:rPr>
          <w:rFonts w:ascii="黑体" w:eastAsia="黑体"/>
          <w:sz w:val="32"/>
          <w:szCs w:val="32"/>
        </w:rPr>
      </w:pPr>
    </w:p>
    <w:tbl>
      <w:tblPr>
        <w:tblStyle w:val="16"/>
        <w:tblW w:w="0" w:type="auto"/>
        <w:tblInd w:w="534" w:type="dxa"/>
        <w:tblLayout w:type="autofit"/>
        <w:tblCellMar>
          <w:top w:w="0" w:type="dxa"/>
          <w:left w:w="108" w:type="dxa"/>
          <w:bottom w:w="0" w:type="dxa"/>
          <w:right w:w="108" w:type="dxa"/>
        </w:tblCellMar>
      </w:tblPr>
      <w:tblGrid>
        <w:gridCol w:w="2835"/>
        <w:gridCol w:w="5917"/>
      </w:tblGrid>
      <w:tr w14:paraId="740C6A38">
        <w:tblPrEx>
          <w:tblCellMar>
            <w:top w:w="0" w:type="dxa"/>
            <w:left w:w="108" w:type="dxa"/>
            <w:bottom w:w="0" w:type="dxa"/>
            <w:right w:w="108" w:type="dxa"/>
          </w:tblCellMar>
        </w:tblPrEx>
        <w:trPr>
          <w:trHeight w:val="0" w:hRule="atLeast"/>
        </w:trPr>
        <w:tc>
          <w:tcPr>
            <w:tcW w:w="2835" w:type="dxa"/>
            <w:vAlign w:val="center"/>
          </w:tcPr>
          <w:p w14:paraId="5ED584B3">
            <w:pPr>
              <w:jc w:val="left"/>
              <w:rPr>
                <w:rFonts w:ascii="黑体" w:eastAsia="黑体"/>
                <w:sz w:val="32"/>
                <w:szCs w:val="32"/>
              </w:rPr>
            </w:pPr>
            <w:r>
              <w:rPr>
                <w:rFonts w:hint="eastAsia" w:ascii="黑体" w:eastAsia="黑体"/>
                <w:sz w:val="32"/>
                <w:szCs w:val="32"/>
              </w:rPr>
              <w:t>项目名称</w:t>
            </w:r>
          </w:p>
        </w:tc>
        <w:tc>
          <w:tcPr>
            <w:tcW w:w="5917" w:type="dxa"/>
            <w:tcBorders>
              <w:bottom w:val="single" w:color="auto" w:sz="4" w:space="0"/>
            </w:tcBorders>
            <w:vAlign w:val="center"/>
          </w:tcPr>
          <w:p w14:paraId="4050BA6B">
            <w:pPr>
              <w:pStyle w:val="6"/>
              <w:spacing w:line="360" w:lineRule="auto"/>
              <w:ind w:firstLine="0" w:firstLineChars="0"/>
              <w:rPr>
                <w:rFonts w:ascii="仿宋_GB2312" w:eastAsia="仿宋_GB2312"/>
                <w:bCs w:val="0"/>
                <w:color w:val="000000"/>
                <w:sz w:val="22"/>
                <w:szCs w:val="22"/>
              </w:rPr>
            </w:pPr>
            <w:r>
              <w:rPr>
                <w:rFonts w:ascii="仿宋_GB2312" w:hAnsi="仿宋_GB2312" w:eastAsia="仿宋_GB2312"/>
                <w:b w:val="0"/>
                <w:sz w:val="22"/>
              </w:rPr>
              <w:t>“智驱思阅”——基于Agent驱动的哲学社科辅助阅读工具开发与应用</w:t>
            </w:r>
          </w:p>
        </w:tc>
      </w:tr>
      <w:tr w14:paraId="41DFD6C5">
        <w:tblPrEx>
          <w:tblCellMar>
            <w:top w:w="0" w:type="dxa"/>
            <w:left w:w="108" w:type="dxa"/>
            <w:bottom w:w="0" w:type="dxa"/>
            <w:right w:w="108" w:type="dxa"/>
          </w:tblCellMar>
        </w:tblPrEx>
        <w:trPr>
          <w:trHeight w:val="0" w:hRule="atLeast"/>
        </w:trPr>
        <w:tc>
          <w:tcPr>
            <w:tcW w:w="2835" w:type="dxa"/>
            <w:vAlign w:val="center"/>
          </w:tcPr>
          <w:p w14:paraId="1B53CDE6">
            <w:pPr>
              <w:jc w:val="left"/>
              <w:rPr>
                <w:rFonts w:ascii="黑体" w:eastAsia="黑体"/>
                <w:sz w:val="32"/>
                <w:szCs w:val="32"/>
              </w:rPr>
            </w:pPr>
            <w:r>
              <w:rPr>
                <w:rFonts w:hint="eastAsia" w:ascii="黑体" w:eastAsia="黑体"/>
                <w:sz w:val="32"/>
                <w:szCs w:val="32"/>
              </w:rPr>
              <w:t>项目所属一级学科</w:t>
            </w:r>
          </w:p>
        </w:tc>
        <w:tc>
          <w:tcPr>
            <w:tcW w:w="5917" w:type="dxa"/>
            <w:tcBorders>
              <w:top w:val="single" w:color="auto" w:sz="4" w:space="0"/>
              <w:bottom w:val="single" w:color="auto" w:sz="4" w:space="0"/>
            </w:tcBorders>
            <w:vAlign w:val="center"/>
          </w:tcPr>
          <w:p w14:paraId="790EA514">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工学类</w:t>
            </w:r>
          </w:p>
        </w:tc>
      </w:tr>
      <w:tr w14:paraId="7B133864">
        <w:tblPrEx>
          <w:tblCellMar>
            <w:top w:w="0" w:type="dxa"/>
            <w:left w:w="108" w:type="dxa"/>
            <w:bottom w:w="0" w:type="dxa"/>
            <w:right w:w="108" w:type="dxa"/>
          </w:tblCellMar>
        </w:tblPrEx>
        <w:trPr>
          <w:trHeight w:val="0" w:hRule="atLeast"/>
        </w:trPr>
        <w:tc>
          <w:tcPr>
            <w:tcW w:w="2835" w:type="dxa"/>
            <w:vAlign w:val="center"/>
          </w:tcPr>
          <w:p w14:paraId="433F09A0">
            <w:pPr>
              <w:jc w:val="left"/>
              <w:rPr>
                <w:rFonts w:ascii="黑体" w:eastAsia="黑体"/>
                <w:sz w:val="32"/>
                <w:szCs w:val="32"/>
              </w:rPr>
            </w:pPr>
            <w:r>
              <w:rPr>
                <w:rFonts w:hint="eastAsia" w:ascii="黑体" w:eastAsia="黑体"/>
                <w:sz w:val="32"/>
                <w:szCs w:val="32"/>
              </w:rPr>
              <w:t>项目负责人</w:t>
            </w:r>
          </w:p>
        </w:tc>
        <w:tc>
          <w:tcPr>
            <w:tcW w:w="5917" w:type="dxa"/>
            <w:tcBorders>
              <w:top w:val="single" w:color="auto" w:sz="4" w:space="0"/>
              <w:bottom w:val="single" w:color="auto" w:sz="4" w:space="0"/>
            </w:tcBorders>
            <w:vAlign w:val="center"/>
          </w:tcPr>
          <w:p w14:paraId="64611298">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t>张文超</w:t>
            </w:r>
          </w:p>
        </w:tc>
      </w:tr>
      <w:tr w14:paraId="339D8EFD">
        <w:tblPrEx>
          <w:tblCellMar>
            <w:top w:w="0" w:type="dxa"/>
            <w:left w:w="108" w:type="dxa"/>
            <w:bottom w:w="0" w:type="dxa"/>
            <w:right w:w="108" w:type="dxa"/>
          </w:tblCellMar>
        </w:tblPrEx>
        <w:trPr>
          <w:trHeight w:val="0" w:hRule="atLeast"/>
        </w:trPr>
        <w:tc>
          <w:tcPr>
            <w:tcW w:w="2835" w:type="dxa"/>
            <w:vAlign w:val="center"/>
          </w:tcPr>
          <w:p w14:paraId="2B67591A">
            <w:pPr>
              <w:jc w:val="left"/>
              <w:rPr>
                <w:rFonts w:ascii="黑体" w:eastAsia="黑体"/>
                <w:sz w:val="32"/>
                <w:szCs w:val="32"/>
              </w:rPr>
            </w:pPr>
            <w:r>
              <w:rPr>
                <w:rFonts w:hint="eastAsia" w:ascii="黑体" w:eastAsia="黑体"/>
                <w:sz w:val="32"/>
                <w:szCs w:val="32"/>
              </w:rPr>
              <w:t>项目组成员</w:t>
            </w:r>
          </w:p>
        </w:tc>
        <w:tc>
          <w:tcPr>
            <w:tcW w:w="5917" w:type="dxa"/>
            <w:tcBorders>
              <w:top w:val="single" w:color="auto" w:sz="4" w:space="0"/>
              <w:bottom w:val="single" w:color="auto" w:sz="4" w:space="0"/>
            </w:tcBorders>
            <w:vAlign w:val="center"/>
          </w:tcPr>
          <w:p w14:paraId="36D20F31">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吴涵、姚奇文、</w:t>
            </w:r>
            <w:r>
              <w:rPr>
                <w:rFonts w:hint="eastAsia" w:ascii="仿宋_GB2312" w:eastAsia="仿宋_GB2312"/>
                <w:bCs w:val="0"/>
                <w:color w:val="000000"/>
                <w:sz w:val="32"/>
                <w:szCs w:val="32"/>
              </w:rPr>
              <w:t>张博文</w:t>
            </w:r>
          </w:p>
        </w:tc>
      </w:tr>
      <w:tr w14:paraId="2AE70835">
        <w:tblPrEx>
          <w:tblCellMar>
            <w:top w:w="0" w:type="dxa"/>
            <w:left w:w="108" w:type="dxa"/>
            <w:bottom w:w="0" w:type="dxa"/>
            <w:right w:w="108" w:type="dxa"/>
          </w:tblCellMar>
        </w:tblPrEx>
        <w:trPr>
          <w:trHeight w:val="0" w:hRule="atLeast"/>
        </w:trPr>
        <w:tc>
          <w:tcPr>
            <w:tcW w:w="2835" w:type="dxa"/>
            <w:vAlign w:val="center"/>
          </w:tcPr>
          <w:p w14:paraId="3E833EA0">
            <w:pPr>
              <w:jc w:val="left"/>
              <w:rPr>
                <w:rFonts w:ascii="黑体" w:eastAsia="黑体"/>
                <w:sz w:val="32"/>
                <w:szCs w:val="32"/>
              </w:rPr>
            </w:pPr>
            <w:r>
              <w:rPr>
                <w:rFonts w:hint="eastAsia" w:ascii="黑体" w:eastAsia="黑体"/>
                <w:sz w:val="32"/>
                <w:szCs w:val="32"/>
              </w:rPr>
              <w:t>指导教师</w:t>
            </w:r>
          </w:p>
        </w:tc>
        <w:tc>
          <w:tcPr>
            <w:tcW w:w="5917" w:type="dxa"/>
            <w:tcBorders>
              <w:top w:val="single" w:color="auto" w:sz="4" w:space="0"/>
              <w:bottom w:val="single" w:color="auto" w:sz="4" w:space="0"/>
            </w:tcBorders>
            <w:vAlign w:val="center"/>
          </w:tcPr>
          <w:p w14:paraId="4C065B3D">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朱琳</w:t>
            </w:r>
            <w:r>
              <w:rPr>
                <w:rFonts w:hint="eastAsia" w:ascii="仿宋_GB2312" w:eastAsia="仿宋_GB2312"/>
                <w:bCs w:val="0"/>
                <w:color w:val="000000"/>
                <w:sz w:val="32"/>
                <w:szCs w:val="32"/>
              </w:rPr>
              <w:t>（副教授）</w:t>
            </w:r>
          </w:p>
        </w:tc>
      </w:tr>
      <w:tr w14:paraId="12C46FB3">
        <w:tblPrEx>
          <w:tblCellMar>
            <w:top w:w="0" w:type="dxa"/>
            <w:left w:w="108" w:type="dxa"/>
            <w:bottom w:w="0" w:type="dxa"/>
            <w:right w:w="108" w:type="dxa"/>
          </w:tblCellMar>
        </w:tblPrEx>
        <w:trPr>
          <w:trHeight w:val="0" w:hRule="atLeast"/>
        </w:trPr>
        <w:tc>
          <w:tcPr>
            <w:tcW w:w="2835" w:type="dxa"/>
            <w:vAlign w:val="center"/>
          </w:tcPr>
          <w:p w14:paraId="7C3292F2">
            <w:pPr>
              <w:jc w:val="left"/>
              <w:rPr>
                <w:rFonts w:ascii="黑体" w:eastAsia="黑体"/>
                <w:sz w:val="32"/>
                <w:szCs w:val="32"/>
              </w:rPr>
            </w:pPr>
            <w:r>
              <w:rPr>
                <w:rFonts w:hint="eastAsia" w:ascii="黑体" w:eastAsia="黑体"/>
                <w:sz w:val="32"/>
                <w:szCs w:val="32"/>
              </w:rPr>
              <w:t>所在学院</w:t>
            </w:r>
          </w:p>
        </w:tc>
        <w:tc>
          <w:tcPr>
            <w:tcW w:w="5917" w:type="dxa"/>
            <w:tcBorders>
              <w:top w:val="single" w:color="auto" w:sz="4" w:space="0"/>
              <w:bottom w:val="single" w:color="auto" w:sz="4" w:space="0"/>
            </w:tcBorders>
            <w:vAlign w:val="center"/>
          </w:tcPr>
          <w:p w14:paraId="3B3C48DF">
            <w:pPr>
              <w:pStyle w:val="6"/>
              <w:spacing w:line="600" w:lineRule="exact"/>
              <w:ind w:firstLine="640" w:firstLineChars="200"/>
              <w:jc w:val="center"/>
              <w:rPr>
                <w:rFonts w:hint="default" w:ascii="仿宋_GB2312" w:eastAsia="仿宋_GB2312"/>
                <w:bCs w:val="0"/>
                <w:color w:val="000000"/>
                <w:sz w:val="32"/>
                <w:szCs w:val="32"/>
                <w:lang w:val="en-US" w:eastAsia="zh-CN"/>
              </w:rPr>
            </w:pPr>
            <w:r>
              <w:rPr>
                <w:rFonts w:hint="eastAsia" w:ascii="仿宋_GB2312" w:eastAsia="仿宋_GB2312"/>
                <w:bCs w:val="0"/>
                <w:color w:val="000000"/>
                <w:sz w:val="32"/>
                <w:szCs w:val="32"/>
                <w:lang w:val="en-US" w:eastAsia="zh-CN"/>
              </w:rPr>
              <w:t>社会与公共管理学院</w:t>
            </w:r>
          </w:p>
        </w:tc>
      </w:tr>
      <w:tr w14:paraId="160F9391">
        <w:tblPrEx>
          <w:tblCellMar>
            <w:top w:w="0" w:type="dxa"/>
            <w:left w:w="108" w:type="dxa"/>
            <w:bottom w:w="0" w:type="dxa"/>
            <w:right w:w="108" w:type="dxa"/>
          </w:tblCellMar>
        </w:tblPrEx>
        <w:trPr>
          <w:trHeight w:val="0" w:hRule="atLeast"/>
        </w:trPr>
        <w:tc>
          <w:tcPr>
            <w:tcW w:w="2835" w:type="dxa"/>
            <w:vAlign w:val="center"/>
          </w:tcPr>
          <w:p w14:paraId="14FDF3F5">
            <w:pPr>
              <w:jc w:val="left"/>
              <w:rPr>
                <w:rFonts w:ascii="黑体" w:eastAsia="黑体"/>
                <w:sz w:val="32"/>
                <w:szCs w:val="32"/>
              </w:rPr>
            </w:pPr>
            <w:r>
              <w:rPr>
                <w:rFonts w:hint="eastAsia" w:ascii="黑体" w:eastAsia="黑体"/>
                <w:sz w:val="32"/>
                <w:szCs w:val="32"/>
              </w:rPr>
              <w:t>填报日期</w:t>
            </w:r>
          </w:p>
        </w:tc>
        <w:tc>
          <w:tcPr>
            <w:tcW w:w="5917" w:type="dxa"/>
            <w:tcBorders>
              <w:top w:val="single" w:color="auto" w:sz="4" w:space="0"/>
              <w:bottom w:val="single" w:color="auto" w:sz="4" w:space="0"/>
            </w:tcBorders>
            <w:vAlign w:val="center"/>
          </w:tcPr>
          <w:p w14:paraId="6D84ADE1">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2026.10</w:t>
            </w:r>
          </w:p>
        </w:tc>
      </w:tr>
    </w:tbl>
    <w:p w14:paraId="6E9CDAB2">
      <w:pPr>
        <w:ind w:firstLine="960" w:firstLineChars="300"/>
        <w:rPr>
          <w:rFonts w:ascii="黑体" w:eastAsia="黑体"/>
          <w:sz w:val="32"/>
          <w:szCs w:val="32"/>
        </w:rPr>
      </w:pPr>
    </w:p>
    <w:p w14:paraId="127EC146">
      <w:pPr>
        <w:jc w:val="center"/>
        <w:rPr>
          <w:rFonts w:ascii="宋体" w:hAnsi="宋体" w:eastAsia="楷体_GB2312"/>
          <w:b/>
          <w:sz w:val="32"/>
        </w:rPr>
      </w:pPr>
      <w:r>
        <w:rPr>
          <w:rFonts w:hint="eastAsia" w:ascii="宋体" w:hAnsi="宋体" w:eastAsia="楷体_GB2312"/>
          <w:b/>
          <w:sz w:val="32"/>
        </w:rPr>
        <w:t>华东理工大学创新创业学院制表</w:t>
      </w:r>
    </w:p>
    <w:p w14:paraId="23C94F68">
      <w:pPr>
        <w:spacing w:line="500" w:lineRule="exact"/>
        <w:jc w:val="center"/>
        <w:rPr>
          <w:rFonts w:eastAsia="黑体"/>
          <w:spacing w:val="32"/>
          <w:sz w:val="36"/>
        </w:rPr>
      </w:pPr>
    </w:p>
    <w:p w14:paraId="7CF80C5D">
      <w:pPr>
        <w:spacing w:line="500" w:lineRule="exact"/>
        <w:jc w:val="center"/>
        <w:rPr>
          <w:rFonts w:eastAsia="黑体"/>
          <w:spacing w:val="32"/>
          <w:sz w:val="36"/>
        </w:rPr>
      </w:pPr>
      <w:r>
        <w:rPr>
          <w:rFonts w:hint="eastAsia" w:eastAsia="黑体"/>
          <w:spacing w:val="32"/>
          <w:sz w:val="36"/>
        </w:rPr>
        <w:t>填表说明</w:t>
      </w:r>
    </w:p>
    <w:p w14:paraId="52FF45D8">
      <w:pPr>
        <w:spacing w:line="500" w:lineRule="exact"/>
        <w:jc w:val="center"/>
        <w:rPr>
          <w:rFonts w:eastAsia="黑体"/>
          <w:sz w:val="36"/>
        </w:rPr>
      </w:pPr>
    </w:p>
    <w:p w14:paraId="26274543">
      <w:pPr>
        <w:spacing w:line="500" w:lineRule="exact"/>
        <w:jc w:val="center"/>
        <w:rPr>
          <w:rFonts w:eastAsia="黑体"/>
          <w:sz w:val="36"/>
        </w:rPr>
      </w:pPr>
    </w:p>
    <w:p w14:paraId="4B98F45B">
      <w:pPr>
        <w:spacing w:line="360" w:lineRule="auto"/>
        <w:ind w:firstLine="537" w:firstLineChars="168"/>
        <w:rPr>
          <w:rFonts w:ascii="仿宋_GB2312" w:eastAsia="仿宋_GB2312"/>
          <w:sz w:val="28"/>
        </w:rPr>
      </w:pPr>
      <w:r>
        <w:rPr>
          <w:rFonts w:hint="eastAsia" w:ascii="仿宋_GB2312" w:eastAsia="仿宋_GB2312"/>
          <w:sz w:val="32"/>
          <w:szCs w:val="32"/>
        </w:rPr>
        <w:t>一、</w:t>
      </w:r>
      <w:r>
        <w:rPr>
          <w:rFonts w:hint="eastAsia" w:ascii="仿宋_GB2312" w:eastAsia="仿宋_GB2312"/>
          <w:sz w:val="28"/>
        </w:rPr>
        <w:t>本表要求按顺序逐项填写，项目要实事求是，讲究诚信，不能有雷同，表达要明确、严谨。空缺项要填“无”。一律用A4纸打印，于左侧装订成册。</w:t>
      </w:r>
    </w:p>
    <w:p w14:paraId="45E318CE">
      <w:pPr>
        <w:spacing w:line="360" w:lineRule="auto"/>
        <w:ind w:firstLine="470" w:firstLineChars="168"/>
        <w:rPr>
          <w:rFonts w:ascii="仿宋_GB2312" w:eastAsia="仿宋_GB2312"/>
          <w:sz w:val="28"/>
        </w:rPr>
      </w:pPr>
      <w:r>
        <w:rPr>
          <w:rFonts w:hint="eastAsia" w:ascii="仿宋_GB2312" w:eastAsia="仿宋_GB2312"/>
          <w:sz w:val="28"/>
        </w:rPr>
        <w:t>二、申请参加本项目团队人数不得超过4人（1人为立项负责人，参与合作研究者1-3人）。</w:t>
      </w:r>
    </w:p>
    <w:p w14:paraId="343B7732">
      <w:pPr>
        <w:spacing w:line="360" w:lineRule="auto"/>
        <w:ind w:firstLine="470" w:firstLineChars="168"/>
        <w:rPr>
          <w:rFonts w:ascii="仿宋_GB2312" w:eastAsia="仿宋_GB2312"/>
          <w:sz w:val="28"/>
        </w:rPr>
      </w:pPr>
      <w:r>
        <w:rPr>
          <w:rFonts w:hint="eastAsia" w:ascii="仿宋_GB2312" w:eastAsia="仿宋_GB2312"/>
          <w:sz w:val="28"/>
        </w:rPr>
        <w:t>三、申请参加本项目的个人或团队必须聘请教师作为项目指导教师，并请指导教师在申请书上签名。</w:t>
      </w:r>
    </w:p>
    <w:p w14:paraId="68588344">
      <w:pPr>
        <w:spacing w:line="360" w:lineRule="auto"/>
        <w:ind w:firstLine="470" w:firstLineChars="168"/>
        <w:rPr>
          <w:rFonts w:ascii="仿宋_GB2312" w:eastAsia="仿宋_GB2312"/>
          <w:sz w:val="28"/>
        </w:rPr>
      </w:pPr>
      <w:r>
        <w:rPr>
          <w:rFonts w:hint="eastAsia" w:ascii="仿宋_GB2312" w:eastAsia="仿宋_GB2312"/>
          <w:sz w:val="28"/>
        </w:rPr>
        <w:t>四、项目执行周期一般为1年。</w:t>
      </w:r>
    </w:p>
    <w:p w14:paraId="26B0BA32">
      <w:pPr>
        <w:spacing w:line="360" w:lineRule="auto"/>
        <w:ind w:firstLine="470" w:firstLineChars="168"/>
        <w:rPr>
          <w:rFonts w:ascii="仿宋_GB2312" w:eastAsia="仿宋_GB2312"/>
          <w:sz w:val="28"/>
        </w:rPr>
      </w:pPr>
      <w:r>
        <w:rPr>
          <w:rFonts w:hint="eastAsia" w:ascii="仿宋_GB2312" w:eastAsia="仿宋_GB2312"/>
          <w:sz w:val="28"/>
        </w:rPr>
        <w:t>五、本表由指导教师所在院系初审，签署意见后，由学院统一保存。</w:t>
      </w:r>
    </w:p>
    <w:p w14:paraId="64E3D89E">
      <w:pPr>
        <w:ind w:firstLine="504" w:firstLineChars="168"/>
        <w:jc w:val="left"/>
        <w:rPr>
          <w:rFonts w:ascii="仿宋_GB2312" w:eastAsia="仿宋_GB2312"/>
          <w:b/>
          <w:color w:val="000000"/>
          <w:sz w:val="30"/>
          <w:szCs w:val="30"/>
        </w:rPr>
      </w:pPr>
    </w:p>
    <w:p w14:paraId="13FA180B">
      <w:pPr>
        <w:ind w:firstLine="3152" w:firstLineChars="1050"/>
        <w:rPr>
          <w:rFonts w:ascii="仿宋_GB2312" w:eastAsia="仿宋_GB2312"/>
          <w:b/>
          <w:color w:val="000000"/>
          <w:sz w:val="30"/>
          <w:szCs w:val="30"/>
        </w:rPr>
      </w:pPr>
    </w:p>
    <w:p w14:paraId="7C790E06">
      <w:pPr>
        <w:ind w:firstLine="3152" w:firstLineChars="1050"/>
        <w:rPr>
          <w:rFonts w:ascii="仿宋_GB2312" w:eastAsia="仿宋_GB2312"/>
          <w:b/>
          <w:color w:val="000000"/>
          <w:sz w:val="30"/>
          <w:szCs w:val="30"/>
        </w:rPr>
      </w:pPr>
    </w:p>
    <w:p w14:paraId="4B1BE694">
      <w:pPr>
        <w:spacing w:before="312" w:beforeLines="100" w:after="312" w:afterLines="100"/>
        <w:rPr>
          <w:b/>
          <w:sz w:val="32"/>
          <w:szCs w:val="32"/>
        </w:rPr>
      </w:pPr>
    </w:p>
    <w:p w14:paraId="086992E9">
      <w:pPr>
        <w:keepNext/>
        <w:keepLines/>
        <w:spacing w:before="312" w:beforeLines="100" w:after="156" w:afterLines="50"/>
        <w:rPr>
          <w:sz w:val="32"/>
          <w:szCs w:val="32"/>
        </w:rPr>
      </w:pPr>
      <w:r>
        <w:rPr>
          <w:b/>
          <w:sz w:val="32"/>
          <w:szCs w:val="32"/>
        </w:rPr>
        <w:br w:type="page"/>
      </w:r>
      <w:r>
        <w:rPr>
          <w:rFonts w:hint="eastAsia"/>
          <w:b/>
          <w:sz w:val="32"/>
          <w:szCs w:val="32"/>
        </w:rPr>
        <w:t>一、项目基本情况</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708"/>
        <w:gridCol w:w="400"/>
        <w:gridCol w:w="264"/>
        <w:gridCol w:w="850"/>
        <w:gridCol w:w="1134"/>
        <w:gridCol w:w="567"/>
        <w:gridCol w:w="851"/>
        <w:gridCol w:w="709"/>
        <w:gridCol w:w="283"/>
        <w:gridCol w:w="1276"/>
        <w:gridCol w:w="19"/>
        <w:gridCol w:w="2397"/>
      </w:tblGrid>
      <w:tr w14:paraId="192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4" w:hRule="atLeast"/>
          <w:jc w:val="center"/>
        </w:trPr>
        <w:tc>
          <w:tcPr>
            <w:tcW w:w="1189" w:type="dxa"/>
            <w:gridSpan w:val="2"/>
            <w:vAlign w:val="bottom"/>
          </w:tcPr>
          <w:p w14:paraId="5535B1A3">
            <w:pPr>
              <w:spacing w:line="480" w:lineRule="auto"/>
              <w:jc w:val="center"/>
              <w:rPr>
                <w:sz w:val="22"/>
              </w:rPr>
            </w:pPr>
            <w:r>
              <w:rPr>
                <w:rFonts w:hint="eastAsia"/>
                <w:sz w:val="22"/>
              </w:rPr>
              <w:t>项目名称</w:t>
            </w:r>
          </w:p>
        </w:tc>
        <w:tc>
          <w:tcPr>
            <w:tcW w:w="8750" w:type="dxa"/>
            <w:gridSpan w:val="11"/>
            <w:vAlign w:val="center"/>
          </w:tcPr>
          <w:p w14:paraId="07EC8E83">
            <w:pPr>
              <w:jc w:val="center"/>
              <w:rPr>
                <w:rFonts w:ascii="仿宋_GB2312" w:eastAsia="仿宋_GB2312"/>
                <w:sz w:val="22"/>
                <w:szCs w:val="22"/>
              </w:rPr>
            </w:pPr>
            <w:r>
              <w:rPr>
                <w:rFonts w:ascii="仿宋_GB2312" w:hAnsi="仿宋_GB2312" w:eastAsia="仿宋_GB2312"/>
                <w:b w:val="0"/>
                <w:sz w:val="22"/>
              </w:rPr>
              <w:t>“智驱思阅”——基于Agent驱动的哲学社科辅助阅读工具开发与应用</w:t>
            </w:r>
          </w:p>
        </w:tc>
      </w:tr>
      <w:tr w14:paraId="364C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6" w:hRule="atLeast"/>
          <w:jc w:val="center"/>
        </w:trPr>
        <w:tc>
          <w:tcPr>
            <w:tcW w:w="7523" w:type="dxa"/>
            <w:gridSpan w:val="11"/>
            <w:vAlign w:val="center"/>
          </w:tcPr>
          <w:p w14:paraId="13FA85F6">
            <w:pPr>
              <w:jc w:val="left"/>
              <w:rPr>
                <w:sz w:val="22"/>
              </w:rPr>
            </w:pPr>
            <w:r>
              <w:rPr>
                <w:rFonts w:hint="eastAsia"/>
                <w:sz w:val="22"/>
              </w:rPr>
              <w:t>项目所属一级学科（可以是一种或多种跨学科）</w:t>
            </w:r>
          </w:p>
        </w:tc>
        <w:tc>
          <w:tcPr>
            <w:tcW w:w="2416" w:type="dxa"/>
            <w:gridSpan w:val="2"/>
            <w:vAlign w:val="center"/>
          </w:tcPr>
          <w:p w14:paraId="0CF1E0DF">
            <w:pPr>
              <w:jc w:val="center"/>
              <w:rPr>
                <w:sz w:val="22"/>
              </w:rPr>
            </w:pPr>
            <w:r>
              <w:rPr>
                <w:rFonts w:ascii="仿宋_GB2312" w:hAnsi="仿宋_GB2312" w:eastAsia="仿宋_GB2312"/>
                <w:b w:val="0"/>
                <w:sz w:val="22"/>
              </w:rPr>
              <w:t>工学类</w:t>
            </w:r>
          </w:p>
        </w:tc>
      </w:tr>
      <w:tr w14:paraId="148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1189" w:type="dxa"/>
            <w:gridSpan w:val="2"/>
            <w:vMerge w:val="restart"/>
            <w:vAlign w:val="center"/>
          </w:tcPr>
          <w:p w14:paraId="320FF6E4">
            <w:pPr>
              <w:jc w:val="center"/>
              <w:rPr>
                <w:sz w:val="22"/>
                <w:szCs w:val="21"/>
              </w:rPr>
            </w:pPr>
            <w:r>
              <w:rPr>
                <w:rFonts w:hint="eastAsia"/>
                <w:sz w:val="22"/>
                <w:szCs w:val="21"/>
              </w:rPr>
              <w:t>项目来源</w:t>
            </w:r>
          </w:p>
        </w:tc>
        <w:tc>
          <w:tcPr>
            <w:tcW w:w="8750" w:type="dxa"/>
            <w:gridSpan w:val="11"/>
            <w:vAlign w:val="center"/>
          </w:tcPr>
          <w:p w14:paraId="297F522F">
            <w:pPr>
              <w:jc w:val="left"/>
              <w:rPr>
                <w:szCs w:val="21"/>
              </w:rPr>
            </w:pPr>
            <w:bookmarkStart w:id="2" w:name="OLE_LINK7"/>
            <w:r>
              <w:rPr>
                <w:rFonts w:hint="eastAsia" w:ascii="宋体" w:hAnsi="宋体"/>
                <w:sz w:val="22"/>
                <w:szCs w:val="22"/>
              </w:rPr>
              <w:t>☑</w:t>
            </w:r>
            <w:bookmarkEnd w:id="2"/>
            <w:r>
              <w:rPr>
                <w:rFonts w:hint="eastAsia" w:ascii="GulimChe" w:hAnsi="GulimChe"/>
                <w:sz w:val="22"/>
                <w:szCs w:val="22"/>
              </w:rPr>
              <w:t xml:space="preserve">学生自选课题           □导师科研项目    </w:t>
            </w:r>
          </w:p>
        </w:tc>
      </w:tr>
      <w:tr w14:paraId="7A70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8" w:hRule="atLeast"/>
          <w:jc w:val="center"/>
        </w:trPr>
        <w:tc>
          <w:tcPr>
            <w:tcW w:w="1189" w:type="dxa"/>
            <w:gridSpan w:val="2"/>
            <w:vMerge w:val="continue"/>
            <w:vAlign w:val="center"/>
          </w:tcPr>
          <w:p w14:paraId="26C34431">
            <w:pPr>
              <w:jc w:val="center"/>
              <w:rPr>
                <w:sz w:val="22"/>
                <w:szCs w:val="21"/>
              </w:rPr>
            </w:pPr>
          </w:p>
        </w:tc>
        <w:tc>
          <w:tcPr>
            <w:tcW w:w="8750" w:type="dxa"/>
            <w:gridSpan w:val="11"/>
            <w:vAlign w:val="center"/>
          </w:tcPr>
          <w:p w14:paraId="2C1BD455">
            <w:pPr>
              <w:jc w:val="left"/>
              <w:rPr>
                <w:rFonts w:ascii="GulimChe" w:hAnsi="GulimChe"/>
                <w:sz w:val="22"/>
                <w:szCs w:val="22"/>
              </w:rPr>
            </w:pPr>
            <w:r>
              <w:rPr>
                <w:rFonts w:hint="eastAsia" w:ascii="宋体" w:hAnsi="宋体"/>
                <w:sz w:val="22"/>
                <w:szCs w:val="22"/>
              </w:rPr>
              <w:t>☑</w:t>
            </w:r>
            <w:r>
              <w:rPr>
                <w:rFonts w:hint="eastAsia" w:ascii="GulimChe" w:hAnsi="GulimChe"/>
                <w:sz w:val="22"/>
                <w:szCs w:val="22"/>
              </w:rPr>
              <w:t xml:space="preserve">与专业实践相关         </w:t>
            </w:r>
            <w:r>
              <w:rPr>
                <w:rFonts w:hint="eastAsia" w:ascii="GulimChe" w:hAnsi="GulimChe" w:eastAsia="GulimChe"/>
                <w:sz w:val="22"/>
                <w:szCs w:val="22"/>
              </w:rPr>
              <w:t>□</w:t>
            </w:r>
            <w:r>
              <w:rPr>
                <w:rFonts w:hint="eastAsia" w:ascii="GulimChe" w:hAnsi="GulimChe"/>
                <w:sz w:val="22"/>
                <w:szCs w:val="22"/>
              </w:rPr>
              <w:t xml:space="preserve"> 与课程设计相关</w:t>
            </w:r>
          </w:p>
          <w:p w14:paraId="42AD9420">
            <w:pPr>
              <w:spacing w:line="360" w:lineRule="auto"/>
              <w:jc w:val="left"/>
              <w:rPr>
                <w:rFonts w:ascii="GulimChe" w:hAnsi="GulimChe"/>
                <w:sz w:val="22"/>
                <w:szCs w:val="22"/>
              </w:rPr>
            </w:pPr>
            <w:r>
              <w:rPr>
                <w:rFonts w:hAnsi="GulimChe"/>
                <w:sz w:val="22"/>
                <w:szCs w:val="22"/>
              </w:rPr>
              <w:t>是否以</w:t>
            </w:r>
            <w:r>
              <w:rPr>
                <w:sz w:val="22"/>
                <w:szCs w:val="22"/>
              </w:rPr>
              <w:t>USRP</w:t>
            </w:r>
            <w:r>
              <w:rPr>
                <w:rFonts w:hint="eastAsia"/>
                <w:sz w:val="22"/>
                <w:szCs w:val="22"/>
              </w:rPr>
              <w:t xml:space="preserve">课题为基础  </w:t>
            </w:r>
            <w:r>
              <w:rPr>
                <w:rFonts w:hint="eastAsia" w:ascii="GulimChe" w:hAnsi="GulimChe" w:eastAsia="GulimChe"/>
                <w:sz w:val="22"/>
                <w:szCs w:val="22"/>
              </w:rPr>
              <w:t>□</w:t>
            </w:r>
            <w:r>
              <w:rPr>
                <w:rFonts w:hint="eastAsia" w:ascii="GulimChe" w:hAnsi="GulimChe"/>
                <w:sz w:val="22"/>
                <w:szCs w:val="22"/>
              </w:rPr>
              <w:t xml:space="preserve">是 </w:t>
            </w:r>
            <w:r>
              <w:rPr>
                <w:rFonts w:hint="eastAsia" w:ascii="宋体" w:hAnsi="宋体"/>
                <w:sz w:val="22"/>
                <w:szCs w:val="22"/>
                <w:woUserID w:val="1"/>
              </w:rPr>
              <w:t>☑</w:t>
            </w:r>
            <w:r>
              <w:rPr>
                <w:rFonts w:hint="eastAsia" w:ascii="GulimChe" w:hAnsi="GulimChe"/>
                <w:sz w:val="22"/>
                <w:szCs w:val="22"/>
              </w:rPr>
              <w:t>否  如果是，请填写</w:t>
            </w:r>
            <w:r>
              <w:rPr>
                <w:rFonts w:hint="eastAsia"/>
                <w:sz w:val="22"/>
                <w:szCs w:val="22"/>
              </w:rPr>
              <w:t>USRP课题名称：</w:t>
            </w:r>
          </w:p>
          <w:p w14:paraId="181861E6">
            <w:pPr>
              <w:spacing w:before="156" w:beforeLines="50"/>
              <w:ind w:left="210" w:leftChars="100" w:firstLine="440" w:firstLineChars="200"/>
              <w:jc w:val="left"/>
              <w:rPr>
                <w:rFonts w:ascii="GulimChe" w:hAnsi="GulimChe" w:eastAsia="GulimChe"/>
                <w:sz w:val="22"/>
                <w:szCs w:val="22"/>
              </w:rPr>
            </w:pPr>
          </w:p>
        </w:tc>
      </w:tr>
      <w:tr w14:paraId="09CD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2" w:hRule="atLeast"/>
          <w:jc w:val="center"/>
        </w:trPr>
        <w:tc>
          <w:tcPr>
            <w:tcW w:w="1189" w:type="dxa"/>
            <w:gridSpan w:val="2"/>
            <w:vAlign w:val="center"/>
          </w:tcPr>
          <w:p w14:paraId="47DD6F5A">
            <w:pPr>
              <w:jc w:val="center"/>
              <w:rPr>
                <w:sz w:val="22"/>
                <w:szCs w:val="21"/>
              </w:rPr>
            </w:pPr>
            <w:r>
              <w:rPr>
                <w:rFonts w:hint="eastAsia"/>
                <w:sz w:val="22"/>
                <w:szCs w:val="21"/>
              </w:rPr>
              <w:t>成果导向</w:t>
            </w:r>
          </w:p>
        </w:tc>
        <w:tc>
          <w:tcPr>
            <w:tcW w:w="8750" w:type="dxa"/>
            <w:gridSpan w:val="11"/>
            <w:vAlign w:val="center"/>
          </w:tcPr>
          <w:p w14:paraId="15059E73">
            <w:pPr>
              <w:spacing w:line="480" w:lineRule="auto"/>
              <w:jc w:val="left"/>
              <w:rPr>
                <w:rFonts w:ascii="宋体" w:hAnsi="宋体"/>
                <w:sz w:val="22"/>
                <w:szCs w:val="22"/>
              </w:rPr>
            </w:pPr>
            <w:r>
              <w:rPr>
                <w:rFonts w:hint="eastAsia" w:ascii="宋体" w:hAnsi="宋体"/>
                <w:sz w:val="22"/>
                <w:szCs w:val="22"/>
              </w:rPr>
              <w:t>☑以</w:t>
            </w:r>
            <w:r>
              <w:rPr>
                <w:rFonts w:hint="eastAsia" w:ascii="宋体" w:hAnsi="宋体" w:cs="微软雅黑"/>
                <w:sz w:val="22"/>
                <w:szCs w:val="22"/>
              </w:rPr>
              <w:t>参与科创竞赛为导向</w:t>
            </w:r>
            <w:r>
              <w:rPr>
                <w:rFonts w:hint="eastAsia" w:ascii="宋体" w:hAnsi="宋体"/>
                <w:sz w:val="22"/>
                <w:szCs w:val="22"/>
              </w:rPr>
              <w:t>，请填写竞赛名称：</w:t>
            </w:r>
          </w:p>
          <w:p w14:paraId="6EF2969F">
            <w:pPr>
              <w:spacing w:line="480" w:lineRule="auto"/>
              <w:jc w:val="left"/>
              <w:rPr>
                <w:rFonts w:ascii="宋体" w:hAnsi="宋体"/>
                <w:sz w:val="22"/>
                <w:szCs w:val="22"/>
              </w:rPr>
            </w:pPr>
            <w:r>
              <w:rPr>
                <w:rFonts w:ascii="宋体" w:hAnsi="宋体"/>
                <w:sz w:val="22"/>
                <w:szCs w:val="22"/>
              </w:rPr>
              <w:t>“挑战杯”全国大学生课外学术科技作品竞赛</w:t>
            </w:r>
          </w:p>
          <w:p w14:paraId="484AB199">
            <w:pPr>
              <w:spacing w:line="480" w:lineRule="auto"/>
              <w:jc w:val="left"/>
              <w:rPr>
                <w:rFonts w:ascii="宋体" w:hAnsi="宋体"/>
                <w:sz w:val="22"/>
                <w:szCs w:val="22"/>
              </w:rPr>
            </w:pPr>
            <w:r>
              <w:rPr>
                <w:rFonts w:hint="eastAsia" w:ascii="宋体" w:hAnsi="宋体"/>
                <w:sz w:val="22"/>
                <w:szCs w:val="22"/>
                <w:woUserID w:val="1"/>
              </w:rPr>
              <w:t>中国国际“互联网+”大学生创新创业大赛</w:t>
            </w:r>
          </w:p>
          <w:p w14:paraId="6B893544">
            <w:pPr>
              <w:spacing w:line="480" w:lineRule="auto"/>
              <w:jc w:val="left"/>
              <w:rPr>
                <w:rFonts w:ascii="GulimChe" w:hAnsi="GulimChe"/>
                <w:sz w:val="22"/>
                <w:szCs w:val="22"/>
              </w:rPr>
            </w:pPr>
            <w:r>
              <w:rPr>
                <w:rFonts w:hint="eastAsia" w:ascii="宋体" w:hAnsi="宋体"/>
                <w:sz w:val="22"/>
                <w:szCs w:val="22"/>
                <w:woUserID w:val="1"/>
              </w:rPr>
              <w:t>☑</w:t>
            </w:r>
            <w:r>
              <w:rPr>
                <w:rFonts w:hint="eastAsia" w:ascii="宋体" w:hAnsi="宋体"/>
                <w:sz w:val="22"/>
                <w:szCs w:val="22"/>
              </w:rPr>
              <w:t>以</w:t>
            </w:r>
            <w:r>
              <w:rPr>
                <w:rFonts w:hint="eastAsia" w:ascii="宋体" w:hAnsi="宋体" w:cs="微软雅黑"/>
                <w:sz w:val="22"/>
                <w:szCs w:val="22"/>
              </w:rPr>
              <w:t>发表学术论文或专利为导向</w:t>
            </w:r>
          </w:p>
        </w:tc>
      </w:tr>
      <w:tr w14:paraId="628C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2519D6C3">
            <w:pPr>
              <w:jc w:val="center"/>
              <w:rPr>
                <w:sz w:val="22"/>
                <w:szCs w:val="22"/>
              </w:rPr>
            </w:pPr>
            <w:r>
              <w:rPr>
                <w:rFonts w:hint="eastAsia"/>
                <w:sz w:val="22"/>
                <w:szCs w:val="22"/>
              </w:rPr>
              <w:t>负责人</w:t>
            </w:r>
          </w:p>
        </w:tc>
        <w:tc>
          <w:tcPr>
            <w:tcW w:w="1108" w:type="dxa"/>
            <w:gridSpan w:val="2"/>
            <w:vAlign w:val="center"/>
          </w:tcPr>
          <w:p w14:paraId="6B50AFA2">
            <w:pPr>
              <w:jc w:val="center"/>
              <w:rPr>
                <w:rFonts w:ascii="仿宋_GB2312" w:eastAsia="仿宋_GB2312"/>
                <w:sz w:val="22"/>
                <w:szCs w:val="22"/>
              </w:rPr>
            </w:pPr>
            <w:r>
              <w:rPr>
                <w:rFonts w:hint="eastAsia"/>
                <w:sz w:val="22"/>
                <w:szCs w:val="22"/>
              </w:rPr>
              <w:t>姓名</w:t>
            </w:r>
          </w:p>
        </w:tc>
        <w:tc>
          <w:tcPr>
            <w:tcW w:w="1114" w:type="dxa"/>
            <w:gridSpan w:val="2"/>
            <w:vAlign w:val="center"/>
          </w:tcPr>
          <w:p w14:paraId="116ECDEB">
            <w:pPr>
              <w:jc w:val="center"/>
              <w:rPr>
                <w:sz w:val="22"/>
                <w:szCs w:val="22"/>
              </w:rPr>
            </w:pPr>
            <w:r>
              <w:rPr>
                <w:rFonts w:hint="eastAsia"/>
                <w:sz w:val="22"/>
                <w:szCs w:val="22"/>
              </w:rPr>
              <w:t>学号</w:t>
            </w:r>
          </w:p>
        </w:tc>
        <w:tc>
          <w:tcPr>
            <w:tcW w:w="1701" w:type="dxa"/>
            <w:gridSpan w:val="2"/>
            <w:vAlign w:val="center"/>
          </w:tcPr>
          <w:p w14:paraId="62DE71C8">
            <w:pPr>
              <w:jc w:val="center"/>
              <w:rPr>
                <w:rFonts w:ascii="仿宋_GB2312" w:eastAsia="仿宋_GB2312"/>
                <w:sz w:val="22"/>
                <w:szCs w:val="22"/>
              </w:rPr>
            </w:pPr>
            <w:r>
              <w:rPr>
                <w:rFonts w:hint="eastAsia"/>
                <w:sz w:val="22"/>
                <w:szCs w:val="22"/>
              </w:rPr>
              <w:t>所在院系</w:t>
            </w:r>
          </w:p>
        </w:tc>
        <w:tc>
          <w:tcPr>
            <w:tcW w:w="1560" w:type="dxa"/>
            <w:gridSpan w:val="2"/>
            <w:vAlign w:val="center"/>
          </w:tcPr>
          <w:p w14:paraId="0ABFF574">
            <w:pPr>
              <w:jc w:val="center"/>
              <w:rPr>
                <w:rFonts w:ascii="仿宋_GB2312" w:eastAsia="仿宋_GB2312"/>
                <w:sz w:val="22"/>
                <w:szCs w:val="22"/>
              </w:rPr>
            </w:pPr>
            <w:r>
              <w:rPr>
                <w:rFonts w:hint="eastAsia"/>
                <w:sz w:val="22"/>
                <w:szCs w:val="22"/>
              </w:rPr>
              <w:t>专业</w:t>
            </w:r>
          </w:p>
        </w:tc>
        <w:tc>
          <w:tcPr>
            <w:tcW w:w="1578" w:type="dxa"/>
            <w:gridSpan w:val="3"/>
            <w:vAlign w:val="center"/>
          </w:tcPr>
          <w:p w14:paraId="013816EC">
            <w:pPr>
              <w:jc w:val="center"/>
              <w:rPr>
                <w:sz w:val="22"/>
                <w:szCs w:val="22"/>
              </w:rPr>
            </w:pPr>
            <w:r>
              <w:rPr>
                <w:rFonts w:hint="eastAsia"/>
                <w:sz w:val="22"/>
                <w:szCs w:val="22"/>
              </w:rPr>
              <w:t>手机</w:t>
            </w:r>
          </w:p>
        </w:tc>
        <w:tc>
          <w:tcPr>
            <w:tcW w:w="2397" w:type="dxa"/>
            <w:vAlign w:val="center"/>
          </w:tcPr>
          <w:p w14:paraId="5FD3FC8D">
            <w:pPr>
              <w:jc w:val="center"/>
              <w:rPr>
                <w:sz w:val="22"/>
                <w:szCs w:val="22"/>
              </w:rPr>
            </w:pPr>
            <w:r>
              <w:rPr>
                <w:rFonts w:hint="eastAsia"/>
                <w:sz w:val="22"/>
                <w:szCs w:val="22"/>
              </w:rPr>
              <w:t>E-mail</w:t>
            </w:r>
          </w:p>
        </w:tc>
      </w:tr>
      <w:tr w14:paraId="7318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jc w:val="center"/>
        </w:trPr>
        <w:tc>
          <w:tcPr>
            <w:tcW w:w="481" w:type="dxa"/>
            <w:vMerge w:val="continue"/>
            <w:vAlign w:val="center"/>
          </w:tcPr>
          <w:p w14:paraId="475C68F6">
            <w:pPr>
              <w:rPr>
                <w:sz w:val="22"/>
                <w:szCs w:val="22"/>
              </w:rPr>
            </w:pPr>
          </w:p>
        </w:tc>
        <w:tc>
          <w:tcPr>
            <w:tcW w:w="1108" w:type="dxa"/>
            <w:gridSpan w:val="2"/>
            <w:vAlign w:val="center"/>
          </w:tcPr>
          <w:p w14:paraId="3F338161">
            <w:pPr>
              <w:jc w:val="center"/>
              <w:rPr>
                <w:rFonts w:ascii="仿宋_GB2312" w:eastAsia="仿宋_GB2312"/>
                <w:sz w:val="22"/>
                <w:szCs w:val="22"/>
              </w:rPr>
            </w:pPr>
            <w:r>
              <w:rPr>
                <w:rFonts w:hint="eastAsia" w:ascii="仿宋_GB2312" w:eastAsia="仿宋_GB2312"/>
                <w:sz w:val="22"/>
                <w:szCs w:val="22"/>
              </w:rPr>
              <w:t>张文超</w:t>
            </w:r>
          </w:p>
        </w:tc>
        <w:tc>
          <w:tcPr>
            <w:tcW w:w="1114" w:type="dxa"/>
            <w:gridSpan w:val="2"/>
            <w:vAlign w:val="center"/>
          </w:tcPr>
          <w:p w14:paraId="35F7422D">
            <w:pPr>
              <w:jc w:val="center"/>
              <w:rPr>
                <w:rFonts w:ascii="仿宋_GB2312" w:eastAsia="仿宋_GB2312"/>
                <w:sz w:val="22"/>
                <w:szCs w:val="22"/>
              </w:rPr>
            </w:pPr>
            <w:r>
              <w:rPr>
                <w:rFonts w:hint="eastAsia" w:ascii="仿宋_GB2312" w:eastAsia="仿宋_GB2312"/>
                <w:sz w:val="22"/>
                <w:szCs w:val="22"/>
              </w:rPr>
              <w:t>25012292</w:t>
            </w:r>
          </w:p>
        </w:tc>
        <w:tc>
          <w:tcPr>
            <w:tcW w:w="1701" w:type="dxa"/>
            <w:gridSpan w:val="2"/>
            <w:vAlign w:val="center"/>
          </w:tcPr>
          <w:p w14:paraId="69B28D50">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01E43585">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2AE5E1AB">
            <w:pPr>
              <w:jc w:val="center"/>
              <w:rPr>
                <w:rFonts w:ascii="仿宋_GB2312" w:eastAsia="仿宋_GB2312"/>
                <w:sz w:val="22"/>
                <w:szCs w:val="22"/>
              </w:rPr>
            </w:pPr>
            <w:r>
              <w:rPr>
                <w:rFonts w:hint="eastAsia" w:ascii="仿宋_GB2312" w:eastAsia="仿宋_GB2312"/>
                <w:sz w:val="22"/>
                <w:szCs w:val="22"/>
              </w:rPr>
              <w:t>15921021091</w:t>
            </w:r>
          </w:p>
        </w:tc>
        <w:tc>
          <w:tcPr>
            <w:tcW w:w="2397" w:type="dxa"/>
            <w:vAlign w:val="center"/>
          </w:tcPr>
          <w:p w14:paraId="500F395C">
            <w:pPr>
              <w:jc w:val="center"/>
              <w:rPr>
                <w:rFonts w:ascii="仿宋_GB2312" w:eastAsia="仿宋_GB2312"/>
                <w:sz w:val="22"/>
                <w:szCs w:val="22"/>
              </w:rPr>
            </w:pPr>
            <w:r>
              <w:rPr>
                <w:rFonts w:hint="eastAsia" w:ascii="仿宋_GB2312" w:eastAsia="仿宋_GB2312"/>
                <w:sz w:val="22"/>
                <w:szCs w:val="22"/>
              </w:rPr>
              <w:t>2209251981@qq.com</w:t>
            </w:r>
          </w:p>
        </w:tc>
      </w:tr>
      <w:tr w14:paraId="071D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restart"/>
            <w:vAlign w:val="center"/>
          </w:tcPr>
          <w:p w14:paraId="092406D3">
            <w:pPr>
              <w:jc w:val="center"/>
              <w:rPr>
                <w:sz w:val="22"/>
                <w:szCs w:val="22"/>
              </w:rPr>
            </w:pPr>
            <w:r>
              <w:rPr>
                <w:rFonts w:hint="eastAsia"/>
                <w:sz w:val="22"/>
                <w:szCs w:val="22"/>
              </w:rPr>
              <w:t>参与</w:t>
            </w:r>
          </w:p>
          <w:p w14:paraId="46268154">
            <w:pPr>
              <w:jc w:val="center"/>
              <w:rPr>
                <w:sz w:val="22"/>
                <w:szCs w:val="22"/>
              </w:rPr>
            </w:pPr>
            <w:r>
              <w:rPr>
                <w:rFonts w:hint="eastAsia"/>
                <w:sz w:val="22"/>
                <w:szCs w:val="22"/>
              </w:rPr>
              <w:t>组员</w:t>
            </w:r>
          </w:p>
        </w:tc>
        <w:tc>
          <w:tcPr>
            <w:tcW w:w="1108" w:type="dxa"/>
            <w:gridSpan w:val="2"/>
            <w:vAlign w:val="center"/>
          </w:tcPr>
          <w:p w14:paraId="4E3C4197">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吴涵</w:t>
            </w:r>
          </w:p>
        </w:tc>
        <w:tc>
          <w:tcPr>
            <w:tcW w:w="1114" w:type="dxa"/>
            <w:gridSpan w:val="2"/>
            <w:vAlign w:val="center"/>
          </w:tcPr>
          <w:p w14:paraId="78AD2208">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25012319</w:t>
            </w:r>
          </w:p>
        </w:tc>
        <w:tc>
          <w:tcPr>
            <w:tcW w:w="1701" w:type="dxa"/>
            <w:gridSpan w:val="2"/>
            <w:vAlign w:val="center"/>
          </w:tcPr>
          <w:p w14:paraId="24FF87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79FDA68A">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12EAFE1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18260141976</w:t>
            </w:r>
          </w:p>
        </w:tc>
        <w:tc>
          <w:tcPr>
            <w:tcW w:w="2397" w:type="dxa"/>
            <w:vAlign w:val="center"/>
          </w:tcPr>
          <w:p w14:paraId="5C215DF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3468837774@qq.com</w:t>
            </w:r>
          </w:p>
        </w:tc>
      </w:tr>
      <w:tr w14:paraId="05D8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continue"/>
            <w:vAlign w:val="center"/>
          </w:tcPr>
          <w:p w14:paraId="18A48DF2">
            <w:pPr>
              <w:jc w:val="center"/>
              <w:rPr>
                <w:sz w:val="22"/>
                <w:szCs w:val="22"/>
              </w:rPr>
            </w:pPr>
          </w:p>
        </w:tc>
        <w:tc>
          <w:tcPr>
            <w:tcW w:w="1108" w:type="dxa"/>
            <w:gridSpan w:val="2"/>
            <w:vAlign w:val="center"/>
          </w:tcPr>
          <w:p w14:paraId="7BE64464">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姚奇文</w:t>
            </w:r>
          </w:p>
        </w:tc>
        <w:tc>
          <w:tcPr>
            <w:tcW w:w="1114" w:type="dxa"/>
            <w:gridSpan w:val="2"/>
            <w:vAlign w:val="center"/>
          </w:tcPr>
          <w:p w14:paraId="4BDABB78">
            <w:pPr>
              <w:jc w:val="center"/>
              <w:rPr>
                <w:rFonts w:ascii="仿宋_GB2312" w:eastAsia="仿宋_GB2312"/>
                <w:sz w:val="22"/>
                <w:szCs w:val="22"/>
              </w:rPr>
            </w:pPr>
          </w:p>
        </w:tc>
        <w:tc>
          <w:tcPr>
            <w:tcW w:w="1701" w:type="dxa"/>
            <w:gridSpan w:val="2"/>
            <w:vAlign w:val="center"/>
          </w:tcPr>
          <w:p w14:paraId="2156D046">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A80D391">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5B4115C0">
            <w:pPr>
              <w:jc w:val="center"/>
              <w:rPr>
                <w:rFonts w:ascii="仿宋_GB2312" w:eastAsia="仿宋_GB2312"/>
                <w:sz w:val="22"/>
                <w:szCs w:val="22"/>
              </w:rPr>
            </w:pPr>
          </w:p>
        </w:tc>
        <w:tc>
          <w:tcPr>
            <w:tcW w:w="2397" w:type="dxa"/>
            <w:vAlign w:val="center"/>
          </w:tcPr>
          <w:p w14:paraId="6AEC49CE">
            <w:pPr>
              <w:jc w:val="center"/>
              <w:rPr>
                <w:rFonts w:ascii="仿宋_GB2312" w:eastAsia="仿宋_GB2312"/>
                <w:sz w:val="22"/>
                <w:szCs w:val="22"/>
              </w:rPr>
            </w:pPr>
          </w:p>
        </w:tc>
      </w:tr>
      <w:tr w14:paraId="063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81" w:type="dxa"/>
            <w:vMerge w:val="continue"/>
            <w:vAlign w:val="center"/>
          </w:tcPr>
          <w:p w14:paraId="54809F0F">
            <w:pPr>
              <w:rPr>
                <w:sz w:val="22"/>
                <w:szCs w:val="22"/>
              </w:rPr>
            </w:pPr>
          </w:p>
        </w:tc>
        <w:tc>
          <w:tcPr>
            <w:tcW w:w="1108" w:type="dxa"/>
            <w:gridSpan w:val="2"/>
            <w:vAlign w:val="center"/>
          </w:tcPr>
          <w:p w14:paraId="6562DF5C">
            <w:pPr>
              <w:jc w:val="center"/>
              <w:rPr>
                <w:rFonts w:ascii="仿宋_GB2312" w:eastAsia="仿宋_GB2312"/>
                <w:sz w:val="22"/>
                <w:szCs w:val="22"/>
              </w:rPr>
            </w:pPr>
            <w:r>
              <w:rPr>
                <w:rFonts w:hint="eastAsia" w:ascii="仿宋_GB2312" w:eastAsia="仿宋_GB2312"/>
                <w:sz w:val="22"/>
                <w:szCs w:val="22"/>
              </w:rPr>
              <w:t>张博文</w:t>
            </w:r>
          </w:p>
        </w:tc>
        <w:tc>
          <w:tcPr>
            <w:tcW w:w="1114" w:type="dxa"/>
            <w:gridSpan w:val="2"/>
            <w:vAlign w:val="center"/>
          </w:tcPr>
          <w:p w14:paraId="1D1FAF41">
            <w:pPr>
              <w:jc w:val="center"/>
              <w:rPr>
                <w:rFonts w:ascii="仿宋_GB2312" w:eastAsia="仿宋_GB2312"/>
                <w:sz w:val="22"/>
                <w:szCs w:val="22"/>
              </w:rPr>
            </w:pPr>
            <w:r>
              <w:rPr>
                <w:rFonts w:hint="eastAsia" w:ascii="仿宋_GB2312" w:eastAsia="仿宋_GB2312"/>
                <w:sz w:val="22"/>
                <w:szCs w:val="22"/>
              </w:rPr>
              <w:t>25012317</w:t>
            </w:r>
          </w:p>
        </w:tc>
        <w:tc>
          <w:tcPr>
            <w:tcW w:w="1701" w:type="dxa"/>
            <w:gridSpan w:val="2"/>
            <w:vAlign w:val="center"/>
          </w:tcPr>
          <w:p w14:paraId="63931A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D6C315C">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行政管理</w:t>
            </w:r>
          </w:p>
        </w:tc>
        <w:tc>
          <w:tcPr>
            <w:tcW w:w="1578" w:type="dxa"/>
            <w:gridSpan w:val="3"/>
            <w:vAlign w:val="center"/>
          </w:tcPr>
          <w:p w14:paraId="5AAE6B3D">
            <w:pPr>
              <w:jc w:val="center"/>
              <w:rPr>
                <w:rFonts w:ascii="仿宋_GB2312" w:eastAsia="仿宋_GB2312"/>
                <w:sz w:val="22"/>
                <w:szCs w:val="22"/>
              </w:rPr>
            </w:pPr>
            <w:r>
              <w:rPr>
                <w:rFonts w:hint="eastAsia" w:ascii="仿宋_GB2312" w:eastAsia="仿宋_GB2312"/>
                <w:sz w:val="22"/>
                <w:szCs w:val="22"/>
              </w:rPr>
              <w:t>17321324885</w:t>
            </w:r>
          </w:p>
        </w:tc>
        <w:tc>
          <w:tcPr>
            <w:tcW w:w="2397" w:type="dxa"/>
            <w:vAlign w:val="center"/>
          </w:tcPr>
          <w:p w14:paraId="7054F4AD">
            <w:pPr>
              <w:jc w:val="center"/>
              <w:rPr>
                <w:rFonts w:ascii="仿宋_GB2312" w:eastAsia="仿宋_GB2312"/>
                <w:sz w:val="22"/>
                <w:szCs w:val="22"/>
              </w:rPr>
            </w:pPr>
            <w:r>
              <w:rPr>
                <w:rFonts w:hint="eastAsia" w:ascii="仿宋_GB2312" w:eastAsia="仿宋_GB2312"/>
                <w:sz w:val="22"/>
                <w:szCs w:val="22"/>
              </w:rPr>
              <w:t>1486392658@qq.com</w:t>
            </w:r>
          </w:p>
        </w:tc>
      </w:tr>
      <w:tr w14:paraId="687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3189C753">
            <w:pPr>
              <w:jc w:val="center"/>
              <w:rPr>
                <w:sz w:val="22"/>
                <w:szCs w:val="22"/>
              </w:rPr>
            </w:pPr>
            <w:r>
              <w:rPr>
                <w:rFonts w:hint="eastAsia"/>
                <w:sz w:val="22"/>
                <w:szCs w:val="22"/>
              </w:rPr>
              <w:t>指导教师</w:t>
            </w:r>
          </w:p>
        </w:tc>
        <w:tc>
          <w:tcPr>
            <w:tcW w:w="1108" w:type="dxa"/>
            <w:gridSpan w:val="2"/>
            <w:vAlign w:val="center"/>
          </w:tcPr>
          <w:p w14:paraId="0DB08CAD">
            <w:pPr>
              <w:jc w:val="center"/>
              <w:rPr>
                <w:rFonts w:ascii="仿宋_GB2312" w:eastAsia="仿宋_GB2312"/>
                <w:sz w:val="22"/>
                <w:szCs w:val="22"/>
              </w:rPr>
            </w:pPr>
            <w:r>
              <w:rPr>
                <w:rFonts w:hint="eastAsia"/>
                <w:sz w:val="22"/>
                <w:szCs w:val="22"/>
              </w:rPr>
              <w:t>姓名</w:t>
            </w:r>
          </w:p>
        </w:tc>
        <w:tc>
          <w:tcPr>
            <w:tcW w:w="1114" w:type="dxa"/>
            <w:gridSpan w:val="2"/>
            <w:vAlign w:val="center"/>
          </w:tcPr>
          <w:p w14:paraId="4911944D">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朱琳</w:t>
            </w:r>
          </w:p>
        </w:tc>
        <w:tc>
          <w:tcPr>
            <w:tcW w:w="1701" w:type="dxa"/>
            <w:gridSpan w:val="2"/>
            <w:vAlign w:val="center"/>
          </w:tcPr>
          <w:p w14:paraId="42732471">
            <w:pPr>
              <w:jc w:val="center"/>
              <w:rPr>
                <w:rFonts w:ascii="仿宋_GB2312" w:eastAsia="仿宋_GB2312"/>
                <w:sz w:val="22"/>
                <w:szCs w:val="22"/>
              </w:rPr>
            </w:pPr>
            <w:r>
              <w:rPr>
                <w:rFonts w:hint="eastAsia"/>
                <w:sz w:val="22"/>
                <w:szCs w:val="22"/>
              </w:rPr>
              <w:t>所在院系</w:t>
            </w:r>
          </w:p>
        </w:tc>
        <w:tc>
          <w:tcPr>
            <w:tcW w:w="5535" w:type="dxa"/>
            <w:gridSpan w:val="6"/>
            <w:vAlign w:val="center"/>
          </w:tcPr>
          <w:p w14:paraId="5649CE0E">
            <w:pPr>
              <w:jc w:val="center"/>
              <w:rPr>
                <w:rFonts w:ascii="仿宋_GB2312" w:eastAsia="仿宋_GB2312"/>
                <w:sz w:val="22"/>
                <w:szCs w:val="22"/>
              </w:rPr>
            </w:pPr>
            <w:r>
              <w:rPr>
                <w:rFonts w:hint="eastAsia" w:ascii="仿宋_GB2312" w:eastAsia="仿宋_GB2312"/>
                <w:sz w:val="22"/>
                <w:szCs w:val="22"/>
              </w:rPr>
              <w:t>社会与公共管理学院</w:t>
            </w:r>
          </w:p>
        </w:tc>
      </w:tr>
      <w:tr w14:paraId="62C3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continue"/>
            <w:vAlign w:val="center"/>
          </w:tcPr>
          <w:p w14:paraId="158D698B">
            <w:pPr>
              <w:jc w:val="center"/>
              <w:rPr>
                <w:sz w:val="22"/>
                <w:szCs w:val="22"/>
              </w:rPr>
            </w:pPr>
          </w:p>
        </w:tc>
        <w:tc>
          <w:tcPr>
            <w:tcW w:w="1108" w:type="dxa"/>
            <w:gridSpan w:val="2"/>
            <w:vAlign w:val="center"/>
          </w:tcPr>
          <w:p w14:paraId="6D16A3E7">
            <w:pPr>
              <w:jc w:val="center"/>
              <w:rPr>
                <w:sz w:val="22"/>
                <w:szCs w:val="22"/>
              </w:rPr>
            </w:pPr>
            <w:r>
              <w:rPr>
                <w:rFonts w:hint="eastAsia"/>
                <w:sz w:val="22"/>
                <w:szCs w:val="22"/>
              </w:rPr>
              <w:t>联系电话</w:t>
            </w:r>
          </w:p>
        </w:tc>
        <w:tc>
          <w:tcPr>
            <w:tcW w:w="1114" w:type="dxa"/>
            <w:gridSpan w:val="2"/>
            <w:vAlign w:val="center"/>
          </w:tcPr>
          <w:p w14:paraId="189ACDC8">
            <w:pPr>
              <w:jc w:val="center"/>
              <w:rPr>
                <w:rFonts w:ascii="仿宋_GB2312" w:eastAsia="仿宋_GB2312"/>
                <w:sz w:val="22"/>
                <w:szCs w:val="22"/>
              </w:rPr>
            </w:pPr>
          </w:p>
        </w:tc>
        <w:tc>
          <w:tcPr>
            <w:tcW w:w="1134" w:type="dxa"/>
            <w:vAlign w:val="center"/>
          </w:tcPr>
          <w:p w14:paraId="05D524B0">
            <w:pPr>
              <w:jc w:val="center"/>
              <w:rPr>
                <w:rFonts w:ascii="仿宋_GB2312" w:eastAsia="仿宋_GB2312"/>
                <w:sz w:val="22"/>
                <w:szCs w:val="22"/>
              </w:rPr>
            </w:pPr>
            <w:r>
              <w:rPr>
                <w:rFonts w:hint="eastAsia"/>
                <w:sz w:val="22"/>
                <w:szCs w:val="22"/>
              </w:rPr>
              <w:t>手机</w:t>
            </w:r>
          </w:p>
        </w:tc>
        <w:tc>
          <w:tcPr>
            <w:tcW w:w="1418" w:type="dxa"/>
            <w:gridSpan w:val="2"/>
            <w:vAlign w:val="center"/>
          </w:tcPr>
          <w:p w14:paraId="5CED1BCC">
            <w:pPr>
              <w:jc w:val="center"/>
              <w:rPr>
                <w:rFonts w:hint="default" w:ascii="仿宋_GB2312" w:eastAsia="仿宋_GB2312"/>
                <w:sz w:val="22"/>
                <w:szCs w:val="22"/>
                <w:lang w:val="en-US" w:eastAsia="zh-CN"/>
              </w:rPr>
            </w:pPr>
          </w:p>
        </w:tc>
        <w:tc>
          <w:tcPr>
            <w:tcW w:w="992" w:type="dxa"/>
            <w:gridSpan w:val="2"/>
            <w:vAlign w:val="center"/>
          </w:tcPr>
          <w:p w14:paraId="0F50533A">
            <w:pPr>
              <w:jc w:val="center"/>
              <w:rPr>
                <w:rFonts w:eastAsia="仿宋_GB2312"/>
                <w:sz w:val="22"/>
                <w:szCs w:val="22"/>
              </w:rPr>
            </w:pPr>
            <w:r>
              <w:rPr>
                <w:rFonts w:eastAsia="仿宋_GB2312"/>
                <w:sz w:val="22"/>
                <w:szCs w:val="22"/>
              </w:rPr>
              <w:t>E-mail</w:t>
            </w:r>
          </w:p>
        </w:tc>
        <w:tc>
          <w:tcPr>
            <w:tcW w:w="3692" w:type="dxa"/>
            <w:gridSpan w:val="3"/>
            <w:vAlign w:val="center"/>
          </w:tcPr>
          <w:p w14:paraId="1795A40D">
            <w:pPr>
              <w:jc w:val="center"/>
              <w:rPr>
                <w:rFonts w:ascii="仿宋_GB2312" w:eastAsia="仿宋_GB2312"/>
                <w:sz w:val="22"/>
                <w:szCs w:val="22"/>
              </w:rPr>
            </w:pPr>
          </w:p>
        </w:tc>
      </w:tr>
      <w:tr w14:paraId="73DD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481" w:type="dxa"/>
            <w:vMerge w:val="continue"/>
            <w:vAlign w:val="center"/>
          </w:tcPr>
          <w:p w14:paraId="77AABC0A">
            <w:pPr>
              <w:rPr>
                <w:sz w:val="22"/>
                <w:szCs w:val="22"/>
              </w:rPr>
            </w:pPr>
          </w:p>
        </w:tc>
        <w:tc>
          <w:tcPr>
            <w:tcW w:w="1372" w:type="dxa"/>
            <w:gridSpan w:val="3"/>
            <w:vAlign w:val="center"/>
          </w:tcPr>
          <w:p w14:paraId="6BFCC7A3">
            <w:pPr>
              <w:jc w:val="center"/>
              <w:rPr>
                <w:rFonts w:ascii="仿宋_GB2312" w:eastAsia="仿宋_GB2312"/>
                <w:sz w:val="22"/>
                <w:szCs w:val="22"/>
              </w:rPr>
            </w:pPr>
            <w:r>
              <w:rPr>
                <w:rFonts w:hint="eastAsia"/>
                <w:sz w:val="22"/>
                <w:szCs w:val="22"/>
              </w:rPr>
              <w:t>职务/职称</w:t>
            </w:r>
          </w:p>
        </w:tc>
        <w:tc>
          <w:tcPr>
            <w:tcW w:w="2551" w:type="dxa"/>
            <w:gridSpan w:val="3"/>
            <w:vAlign w:val="center"/>
          </w:tcPr>
          <w:p w14:paraId="5B83A9BB">
            <w:pPr>
              <w:jc w:val="center"/>
              <w:rPr>
                <w:rFonts w:hint="eastAsia" w:ascii="仿宋_GB2312" w:eastAsia="仿宋_GB2312"/>
                <w:sz w:val="22"/>
                <w:szCs w:val="22"/>
                <w:lang w:eastAsia="zh"/>
                <w:woUserID w:val="1"/>
              </w:rPr>
            </w:pPr>
            <w:r>
              <w:rPr>
                <w:rFonts w:hint="eastAsia" w:ascii="仿宋_GB2312" w:eastAsia="仿宋_GB2312"/>
                <w:sz w:val="22"/>
                <w:szCs w:val="22"/>
                <w:lang w:eastAsia="zh"/>
                <w:woUserID w:val="1"/>
              </w:rPr>
              <w:t>副教授</w:t>
            </w:r>
          </w:p>
        </w:tc>
        <w:tc>
          <w:tcPr>
            <w:tcW w:w="1560" w:type="dxa"/>
            <w:gridSpan w:val="2"/>
            <w:vAlign w:val="center"/>
          </w:tcPr>
          <w:p w14:paraId="65134BF7">
            <w:pPr>
              <w:jc w:val="center"/>
              <w:rPr>
                <w:sz w:val="22"/>
                <w:szCs w:val="22"/>
              </w:rPr>
            </w:pPr>
            <w:r>
              <w:rPr>
                <w:rFonts w:hint="eastAsia"/>
                <w:sz w:val="22"/>
                <w:szCs w:val="22"/>
              </w:rPr>
              <w:t>主要研究方向</w:t>
            </w:r>
          </w:p>
        </w:tc>
        <w:tc>
          <w:tcPr>
            <w:tcW w:w="3975" w:type="dxa"/>
            <w:gridSpan w:val="4"/>
            <w:vAlign w:val="center"/>
          </w:tcPr>
          <w:p w14:paraId="30562530">
            <w:pPr>
              <w:jc w:val="center"/>
              <w:rPr>
                <w:rFonts w:hint="default" w:ascii="仿宋_GB2312" w:eastAsia="仿宋_GB2312"/>
                <w:sz w:val="22"/>
                <w:szCs w:val="22"/>
                <w:lang w:val="en-US" w:eastAsia="zh-CN"/>
              </w:rPr>
            </w:pPr>
          </w:p>
        </w:tc>
      </w:tr>
    </w:tbl>
    <w:p w14:paraId="111856F0">
      <w:pPr>
        <w:spacing w:before="312" w:beforeLines="100" w:after="156" w:afterLines="50"/>
        <w:rPr>
          <w:b/>
          <w:sz w:val="32"/>
          <w:szCs w:val="32"/>
        </w:rPr>
      </w:pPr>
    </w:p>
    <w:p w14:paraId="6DCBE1C4">
      <w:pPr>
        <w:keepNext/>
        <w:keepLines/>
        <w:spacing w:before="312" w:beforeLines="100" w:after="156" w:afterLines="50"/>
        <w:rPr>
          <w:b/>
          <w:sz w:val="32"/>
          <w:szCs w:val="32"/>
        </w:rPr>
      </w:pPr>
      <w:r>
        <w:rPr>
          <w:b/>
          <w:sz w:val="32"/>
          <w:szCs w:val="32"/>
        </w:rPr>
        <w:br w:type="page"/>
      </w:r>
      <w:r>
        <w:rPr>
          <w:rFonts w:hint="eastAsia"/>
          <w:b/>
          <w:sz w:val="32"/>
          <w:szCs w:val="32"/>
        </w:rPr>
        <w:t>二、项目申请理由</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2EA3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41A11F54">
            <w:pPr>
              <w:keepNext/>
              <w:keepLines/>
              <w:rPr>
                <w:b/>
                <w:sz w:val="24"/>
              </w:rPr>
            </w:pPr>
            <w:r>
              <w:rPr>
                <w:rFonts w:hint="eastAsia"/>
                <w:b/>
                <w:sz w:val="24"/>
              </w:rPr>
              <w:t>项</w:t>
            </w:r>
          </w:p>
          <w:p w14:paraId="5D3BAE68">
            <w:pPr>
              <w:keepNext/>
              <w:keepLines/>
              <w:rPr>
                <w:b/>
                <w:sz w:val="24"/>
              </w:rPr>
            </w:pPr>
            <w:r>
              <w:rPr>
                <w:rFonts w:hint="eastAsia"/>
                <w:b/>
                <w:sz w:val="24"/>
              </w:rPr>
              <w:t>目</w:t>
            </w:r>
          </w:p>
          <w:p w14:paraId="559EC444">
            <w:pPr>
              <w:keepNext/>
              <w:keepLines/>
              <w:rPr>
                <w:b/>
                <w:sz w:val="24"/>
              </w:rPr>
            </w:pPr>
            <w:r>
              <w:rPr>
                <w:rFonts w:hint="eastAsia"/>
                <w:b/>
                <w:sz w:val="24"/>
              </w:rPr>
              <w:t>背景和</w:t>
            </w:r>
          </w:p>
          <w:p w14:paraId="46DC418A">
            <w:pPr>
              <w:keepLines/>
              <w:rPr>
                <w:b/>
                <w:sz w:val="24"/>
              </w:rPr>
            </w:pPr>
            <w:r>
              <w:rPr>
                <w:rFonts w:hint="eastAsia"/>
                <w:b/>
                <w:sz w:val="24"/>
              </w:rPr>
              <w:t>意义</w:t>
            </w:r>
          </w:p>
        </w:tc>
        <w:tc>
          <w:tcPr>
            <w:tcW w:w="9459" w:type="dxa"/>
            <w:tcBorders>
              <w:bottom w:val="single" w:color="auto" w:sz="4" w:space="0"/>
            </w:tcBorders>
            <w:shd w:val="clear" w:color="auto" w:fill="FFFFFF"/>
          </w:tcPr>
          <w:p w14:paraId="0ACB2700">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（选题的来源，国内外同类研究工作的现状、方法、难点等，前期准备工作）</w:t>
            </w:r>
          </w:p>
          <w:p w14:paraId="18D1FFF9">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一、项目背景</w:t>
            </w:r>
          </w:p>
          <w:p w14:paraId="71453B6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哲学社会科学</w:t>
            </w:r>
            <w:r>
              <w:rPr>
                <w:rFonts w:hint="eastAsia" w:ascii="仿宋_GB2312" w:hAnsi="仿宋_GB2312" w:eastAsia="仿宋_GB2312"/>
                <w:b w:val="0"/>
                <w:sz w:val="24"/>
                <w:lang w:eastAsia="zh"/>
                <w:woUserID w:val="1"/>
              </w:rPr>
              <w:t>著作、论文</w:t>
            </w:r>
            <w:r>
              <w:rPr>
                <w:rFonts w:ascii="仿宋_GB2312" w:hAnsi="仿宋_GB2312" w:eastAsia="仿宋_GB2312"/>
                <w:b w:val="0"/>
                <w:sz w:val="24"/>
              </w:rPr>
              <w:t>通常篇幅长、概念密度高、论证层次复杂，且高度依赖思想史、文本语境和作者的问题意识。对读者而言，真正的困难往往不只是“知道某一段说了什么”，而是需要同时处理四个相互关联的问题：</w:t>
            </w:r>
          </w:p>
          <w:p w14:paraId="32BF52D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 这本书围绕什么问题展开，总体结构和论证路线是什么；</w:t>
            </w:r>
          </w:p>
          <w:p w14:paraId="2C29722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 各章在全书中承担什么功能，章节内部如何推进论证；</w:t>
            </w:r>
          </w:p>
          <w:p w14:paraId="245D0D2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 具体段落中的句子、术语、转折和指代关系如何理解；</w:t>
            </w:r>
          </w:p>
          <w:p w14:paraId="54D505C6">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 核心概念在文本中如何定义、辨析、演变并与其他概念发生联系。</w:t>
            </w:r>
          </w:p>
          <w:p w14:paraId="180A21D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传统阅读依赖读者自行建立上述结构，过程耗时且容易遗漏；现有AI阅读工具则大多以文献检索、摘要生成或一问一答为中心，能够快速给出局部答案，但缺少面向长文本深度阅读的分层工作空间，也难以把生成内容稳定地锚定回原文。通用聊天模型还可能出现脱离上下文、混淆概念、忽略论证前提等问题，读者难以核验其依据。</w:t>
            </w:r>
          </w:p>
          <w:p w14:paraId="2CA599E8">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highlight w:val="green"/>
              </w:rPr>
              <w:t>因此，本项目提出“智驱思阅”：一个以Agent为执行核心、以原文证据为约束、以自动化用例通过率为最终判定依据的哲学社会科学辅助阅读工具。项目为读者保留判断空间，把长篇著作、论文整理成可阅读、可追溯、可修改的辅助材料，让读者在全书、章节、段落和概念四个尺度之间来回切换，形成自己的理解。</w:t>
            </w:r>
          </w:p>
          <w:p w14:paraId="4A8B99AE">
            <w:pPr>
              <w:spacing w:line="300" w:lineRule="auto"/>
              <w:ind w:firstLine="480" w:firstLineChars="200"/>
              <w:rPr>
                <w:rFonts w:hint="eastAsia" w:ascii="仿宋_GB2312" w:hAnsi="仿宋_GB2312" w:eastAsia="仿宋_GB2312"/>
                <w:b w:val="0"/>
                <w:sz w:val="24"/>
              </w:rPr>
            </w:pPr>
          </w:p>
          <w:p w14:paraId="55CF6CD6">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二、国内外研究现状综述</w:t>
            </w:r>
          </w:p>
          <w:p w14:paraId="3C3F478F">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1. 研究现状调研</w:t>
            </w:r>
          </w:p>
          <w:p w14:paraId="629DFA0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sz w:val="24"/>
              </w:rPr>
              <w:t>（1）AI学术检索与文献</w:t>
            </w:r>
            <w:r>
              <w:rPr>
                <w:rFonts w:hint="eastAsia" w:ascii="仿宋_GB2312" w:hAnsi="仿宋_GB2312" w:eastAsia="仿宋_GB2312"/>
                <w:b/>
                <w:sz w:val="24"/>
                <w:lang w:val="en-US" w:eastAsia="zh-CN"/>
              </w:rPr>
              <w:t>搜集</w:t>
            </w:r>
            <w:r>
              <w:rPr>
                <w:rFonts w:ascii="仿宋_GB2312" w:hAnsi="仿宋_GB2312" w:eastAsia="仿宋_GB2312"/>
                <w:b/>
                <w:sz w:val="24"/>
              </w:rPr>
              <w:t>工具</w:t>
            </w:r>
          </w:p>
          <w:p w14:paraId="0C58638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近年来，Elicit、Consensus、Scite等工具已经能够进行语义检索、论文发现、摘要生成和证据汇总。这类工具提高了文献检索</w:t>
            </w:r>
            <w:r>
              <w:rPr>
                <w:rFonts w:hint="eastAsia" w:ascii="仿宋_GB2312" w:hAnsi="仿宋_GB2312" w:eastAsia="仿宋_GB2312"/>
                <w:b w:val="0"/>
                <w:sz w:val="24"/>
                <w:lang w:val="en-US" w:eastAsia="zh-CN"/>
              </w:rPr>
              <w:t>与信息聚合的</w:t>
            </w:r>
            <w:r>
              <w:rPr>
                <w:rFonts w:ascii="仿宋_GB2312" w:hAnsi="仿宋_GB2312" w:eastAsia="仿宋_GB2312"/>
                <w:b w:val="0"/>
                <w:sz w:val="24"/>
              </w:rPr>
              <w:t>效率，但其核心目标</w:t>
            </w:r>
            <w:r>
              <w:rPr>
                <w:rFonts w:hint="eastAsia" w:ascii="仿宋_GB2312" w:hAnsi="仿宋_GB2312" w:eastAsia="仿宋_GB2312" w:cs="仿宋_GB2312"/>
                <w:sz w:val="24"/>
              </w:rPr>
              <w:t>仍集中于信息获取与</w:t>
            </w:r>
            <w:r>
              <w:rPr>
                <w:rFonts w:hint="eastAsia" w:ascii="仿宋_GB2312" w:hAnsi="仿宋_GB2312" w:eastAsia="仿宋_GB2312" w:cs="仿宋_GB2312"/>
                <w:sz w:val="24"/>
                <w:lang w:val="en-US" w:eastAsia="zh-CN"/>
              </w:rPr>
              <w:t>资料概括</w:t>
            </w:r>
            <w:r>
              <w:rPr>
                <w:rFonts w:hint="eastAsia" w:ascii="仿宋_GB2312" w:hAnsi="仿宋_GB2312" w:eastAsia="仿宋_GB2312" w:cs="仿宋_GB2312"/>
                <w:sz w:val="24"/>
              </w:rPr>
              <w:t>，对哲学社会科学阅读中以概念辨析、理论对话和论证展开为核心的学习需求支持有限。</w:t>
            </w:r>
          </w:p>
          <w:p w14:paraId="2434355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sz w:val="24"/>
              </w:rPr>
              <w:t>（2）长文本问答与摘要工具</w:t>
            </w:r>
          </w:p>
          <w:p w14:paraId="7BBC88B0">
            <w:pPr>
              <w:spacing w:line="300" w:lineRule="auto"/>
              <w:ind w:firstLine="480" w:firstLineChars="200"/>
              <w:rPr>
                <w:rFonts w:hint="eastAsia" w:ascii="仿宋_GB2312" w:hAnsi="仿宋_GB2312" w:eastAsia="仿宋_GB2312" w:cs="仿宋_GB2312"/>
                <w:sz w:val="24"/>
                <w:lang w:eastAsia="zh-CN"/>
              </w:rPr>
            </w:pPr>
            <w:r>
              <w:rPr>
                <w:rFonts w:ascii="仿宋_GB2312" w:hAnsi="仿宋_GB2312" w:eastAsia="仿宋_GB2312"/>
                <w:b w:val="0"/>
                <w:sz w:val="24"/>
              </w:rPr>
              <w:t>NotebookLM等工具通过多文档整合、结构化摘要和问答交互提升了长文本处理效率；ChatGPT、Kimi、DeepSeek等通用对话模型也具备较强的长文本理解与生成能力。然而，这类工具通常以用户提问为起点，以片段化回答或摘要为终点，难以主动组织一部书的整体结构，</w:t>
            </w:r>
            <w:r>
              <w:rPr>
                <w:rFonts w:hint="eastAsia" w:ascii="仿宋_GB2312" w:hAnsi="仿宋_GB2312" w:eastAsia="仿宋_GB2312"/>
                <w:b w:val="0"/>
                <w:sz w:val="24"/>
                <w:lang w:val="en-US" w:eastAsia="zh-CN"/>
              </w:rPr>
              <w:t>并将</w:t>
            </w:r>
            <w:r>
              <w:rPr>
                <w:rFonts w:ascii="仿宋_GB2312" w:hAnsi="仿宋_GB2312" w:eastAsia="仿宋_GB2312"/>
                <w:b w:val="0"/>
                <w:sz w:val="24"/>
              </w:rPr>
              <w:t>所有结论稳定地绑回原文位置</w:t>
            </w: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同时也</w:t>
            </w:r>
            <w:r>
              <w:rPr>
                <w:rFonts w:hint="eastAsia" w:ascii="仿宋_GB2312" w:hAnsi="仿宋_GB2312" w:eastAsia="仿宋_GB2312" w:cs="仿宋_GB2312"/>
                <w:sz w:val="24"/>
              </w:rPr>
              <w:t>缺乏对哲学社会科学特有论证逻辑与语境依赖性的针对性设计。</w:t>
            </w:r>
          </w:p>
          <w:p w14:paraId="6FCC64B1">
            <w:pPr>
              <w:spacing w:line="300" w:lineRule="auto"/>
              <w:ind w:firstLine="480" w:firstLineChars="200"/>
              <w:rPr>
                <w:rFonts w:hint="eastAsia" w:ascii="仿宋_GB2312" w:hAnsi="仿宋_GB2312" w:eastAsia="仿宋_GB2312" w:cs="仿宋_GB2312"/>
                <w:sz w:val="24"/>
                <w:highlight w:val="none"/>
                <w:lang w:val="en-US" w:eastAsia="zh"/>
                <w:woUserID w:val="1"/>
              </w:rPr>
            </w:pPr>
            <w:r>
              <w:rPr>
                <w:rFonts w:ascii="仿宋_GB2312" w:hAnsi="仿宋_GB2312" w:eastAsia="仿宋_GB2312"/>
                <w:b/>
                <w:sz w:val="24"/>
              </w:rPr>
              <w:t>（3）</w:t>
            </w:r>
            <w:r>
              <w:rPr>
                <w:rFonts w:ascii="仿宋_GB2312" w:hAnsi="仿宋_GB2312" w:eastAsia="仿宋_GB2312"/>
                <w:b/>
                <w:sz w:val="24"/>
                <w:highlight w:val="none"/>
              </w:rPr>
              <w:t>Agent与工作流框架</w:t>
            </w:r>
          </w:p>
          <w:p w14:paraId="6C1C2174">
            <w:pPr>
              <w:spacing w:line="300" w:lineRule="auto"/>
              <w:ind w:firstLine="480" w:firstLineChars="200"/>
              <w:rPr>
                <w:rFonts w:hint="eastAsia" w:ascii="仿宋_GB2312" w:hAnsi="仿宋_GB2312" w:eastAsia="仿宋_GB2312" w:cs="仿宋_GB2312"/>
                <w:sz w:val="24"/>
              </w:rPr>
            </w:pPr>
            <w:r>
              <w:rPr>
                <w:rFonts w:hint="default" w:ascii="仿宋_GB2312" w:hAnsi="宋体" w:eastAsia="仿宋_GB2312" w:cs="Times New Roman"/>
                <w:b w:val="0"/>
                <w:kern w:val="2"/>
                <w:sz w:val="24"/>
                <w:szCs w:val="24"/>
                <w:woUserID w:val="1"/>
                <w:highlight w:val="green"/>
              </w:rPr>
              <w:t>AutoGen、MetaGPT等工作流框架擅长把固定步骤编排起来，适合流程稳定、输入输出边界清楚的任务；阅读任务需要根据文本内容和中间结果动态选择工具、调整范围并校验证据，固定工作流难以覆盖这种不确定性。Agent可以在任务边界内自主规划、调用检索、定位和写作工具，并把中间结果交回复核；与单次问答生成相比，Agent能把“读目录—定位章节—提取证据—生成—复核”拆成可追踪步骤，保留中间产物和失败恢复能力。因此，本项目选择以Agent为执行核心，让阅读过程具备可追踪、可恢复的执行链。</w:t>
            </w:r>
          </w:p>
          <w:p w14:paraId="03F40A5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sz w:val="24"/>
              </w:rPr>
              <w:t>（4）数字人文与阅读工具</w:t>
            </w:r>
          </w:p>
          <w:p w14:paraId="121B27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现有电子阅读器主要提供目录、搜索、书签、标注和笔记功能，AI能力多为外挂式问答；数字人文平台则偏向语料整理、文本挖掘和可视化研究，普通读者难以直接用于逐章逐段的日常阅读。阅读界面、Agent任务、笔记系统和引用证据往往彼此分离。</w:t>
            </w:r>
          </w:p>
          <w:p w14:paraId="384922A6">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2. 现有研究的不足</w:t>
            </w:r>
          </w:p>
          <w:p w14:paraId="4BD626B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阅读目标停留在信息获取层面。</w:t>
            </w:r>
            <w:r>
              <w:rPr>
                <w:rFonts w:ascii="仿宋_GB2312" w:hAnsi="仿宋_GB2312" w:eastAsia="仿宋_GB2312"/>
                <w:b w:val="0"/>
                <w:sz w:val="24"/>
              </w:rPr>
              <w:t xml:space="preserve"> 现有工具擅长检索、摘要和问答，但未能围绕“重建文本结构、理解论证过程、辨析核心概念”组织阅读支持。</w:t>
            </w:r>
          </w:p>
          <w:p w14:paraId="684F6EE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bCs/>
                <w:sz w:val="24"/>
              </w:rPr>
              <w:t>（2）缺少可核验的原文证据链。</w:t>
            </w:r>
            <w:r>
              <w:rPr>
                <w:rFonts w:ascii="仿宋_GB2312" w:hAnsi="仿宋_GB2312" w:eastAsia="仿宋_GB2312"/>
                <w:b w:val="0"/>
                <w:sz w:val="24"/>
              </w:rPr>
              <w:t xml:space="preserve"> 现有工具多以自由文本返回解释或摘要，读者难以确认内容来自哪一章、哪一段、哪一句，也难以判断模型是否误读或遗漏上下文；在学术阅读中，缺少稳定的原文锚点会显著增加核验成本。</w:t>
            </w:r>
          </w:p>
          <w:p w14:paraId="1A491893">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bCs/>
                <w:sz w:val="24"/>
              </w:rPr>
              <w:t>（3）缺少面向长文本的连续分层工作空间。</w:t>
            </w:r>
            <w:r>
              <w:rPr>
                <w:rFonts w:ascii="仿宋_GB2312" w:hAnsi="仿宋_GB2312" w:eastAsia="仿宋_GB2312"/>
                <w:b w:val="0"/>
                <w:sz w:val="24"/>
              </w:rPr>
              <w:t xml:space="preserve"> 现有工具多为单轮问答或整篇摘要，读者难以在同一界面中连续处理全书结构、章节论证、段落语义和概念辨析，阅读过程容易被切成互不关联的片段，难以形成对原文的结构性理解。</w:t>
            </w:r>
          </w:p>
          <w:p w14:paraId="52F91969">
            <w:pPr>
              <w:spacing w:line="300" w:lineRule="auto"/>
              <w:ind w:firstLine="480" w:firstLineChars="200"/>
              <w:rPr>
                <w:rFonts w:hint="default" w:ascii="仿宋_GB2312" w:hAnsi="宋体" w:eastAsia="仿宋_GB2312" w:cs="Times New Roman"/>
                <w:b w:val="0"/>
                <w:kern w:val="2"/>
                <w:sz w:val="24"/>
                <w:szCs w:val="24"/>
                <w:highlight w:val="none"/>
                <w:woUserID w:val="1"/>
              </w:rPr>
            </w:pPr>
            <w:r>
              <w:rPr>
                <w:rFonts w:ascii="仿宋_GB2312" w:hAnsi="仿宋_GB2312" w:eastAsia="仿宋_GB2312"/>
                <w:b w:val="0"/>
                <w:sz w:val="24"/>
              </w:rPr>
              <w:t>（4）</w:t>
            </w:r>
            <w:r>
              <w:rPr>
                <w:rFonts w:ascii="仿宋_GB2312" w:hAnsi="仿宋_GB2312" w:eastAsia="仿宋_GB2312"/>
                <w:b/>
                <w:sz w:val="24"/>
                <w:highlight w:val="green"/>
              </w:rPr>
              <w:t>缺少面向阅读任务的Agent harness。</w:t>
            </w:r>
            <w:r>
              <w:rPr>
                <w:rFonts w:ascii="仿宋_GB2312" w:hAnsi="仿宋_GB2312" w:eastAsia="仿宋_GB2312"/>
                <w:b w:val="0"/>
                <w:sz w:val="24"/>
                <w:highlight w:val="green"/>
              </w:rPr>
              <w:t xml:space="preserve"> 通用Agent的直接执行往往缺少稳定的工具边界、数据权限和复核接口，难以适配长期保存的书籍、笔记和对话数据。本项目将整套软件作为面向阅读的Agent harness来建设：Server管理业务数据、权限和版本化接口，Agent服务只通过受控工具读取原文、提交结果；阅读器、任务面板、证据链和复核流程都围绕阅读任务定制，形成专用工作环境。</w:t>
            </w:r>
          </w:p>
          <w:p w14:paraId="7C8A5CC1">
            <w:pPr>
              <w:spacing w:line="300" w:lineRule="auto"/>
              <w:ind w:firstLine="480" w:firstLineChars="200"/>
              <w:rPr>
                <w:rFonts w:hint="eastAsia" w:ascii="仿宋_GB2312" w:hAnsi="仿宋_GB2312" w:eastAsia="仿宋_GB2312" w:cs="仿宋_GB2312"/>
                <w:sz w:val="24"/>
                <w:highlight w:val="yellow"/>
                <w:lang w:eastAsia="zh-CN"/>
              </w:rPr>
            </w:pPr>
            <w:r>
              <w:rPr>
                <w:rFonts w:ascii="仿宋_GB2312" w:hAnsi="仿宋_GB2312" w:eastAsia="仿宋_GB2312"/>
                <w:b w:val="0"/>
                <w:sz w:val="24"/>
              </w:rPr>
              <w:t>（5）</w:t>
            </w:r>
            <w:r>
              <w:rPr>
                <w:rFonts w:ascii="仿宋_GB2312" w:hAnsi="仿宋_GB2312" w:eastAsia="仿宋_GB2312"/>
                <w:b/>
                <w:sz w:val="24"/>
                <w:highlight w:val="green"/>
              </w:rPr>
              <w:t>生成结果缺少可操作的复核依据。</w:t>
            </w:r>
            <w:r>
              <w:rPr>
                <w:rFonts w:ascii="仿宋_GB2312" w:hAnsi="仿宋_GB2312" w:eastAsia="仿宋_GB2312"/>
                <w:b w:val="0"/>
                <w:sz w:val="24"/>
                <w:highlight w:val="green"/>
              </w:rPr>
              <w:t xml:space="preserve"> 模型输出若直接展示，读者只能凭印象判断；项目把“好内容”拆成用例和可检查项（原文引用、定位、层间一致、字段完整），复核记录对应到具体用例和可检查项，最终判定采用自动化用例通过率。</w:t>
            </w:r>
          </w:p>
          <w:p w14:paraId="30FABE8C">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3. 调研结论</w:t>
            </w:r>
          </w:p>
          <w:p w14:paraId="7D0E6E6E">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highlight w:val="green"/>
              </w:rPr>
              <w:t>因此，本项目的切入点是：从著作、论文本身的层次结构和真实阅读任务出发，把全书、章节、段落、概念四个尺度组织为可操作的工作空间；以Agent承担分层生成任务，以原文证据约束生成内容，以自动化硬门槛和用例通过率判定最终质量。 这既区别于通用问答工具，也区别于仅提供标注功能的传统阅读器。</w:t>
            </w:r>
          </w:p>
          <w:p w14:paraId="6076B1EB">
            <w:pPr>
              <w:spacing w:line="300" w:lineRule="auto"/>
              <w:ind w:firstLine="480" w:firstLineChars="200"/>
              <w:rPr>
                <w:rFonts w:hint="eastAsia" w:ascii="仿宋_GB2312" w:hAnsi="仿宋_GB2312" w:eastAsia="仿宋_GB2312"/>
                <w:b w:val="0"/>
                <w:sz w:val="24"/>
              </w:rPr>
            </w:pPr>
          </w:p>
          <w:p w14:paraId="4B091568">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三、项目的目标与意义</w:t>
            </w:r>
          </w:p>
          <w:p w14:paraId="34A2257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highlight w:val="green"/>
              </w:rPr>
              <w:t>本项目的主要目标是：面向哲学社会科学著作、论文，开发一套可在本地运行的辅助阅读工作台，完成从书籍导入、文本定位、分层生成、来源核验、自动验收到笔记与对话使用的完整闭环。</w:t>
            </w:r>
          </w:p>
          <w:p w14:paraId="4CFFF8F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具体目标包括：</w:t>
            </w:r>
          </w:p>
          <w:p w14:paraId="6218AD7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建立四层阅读工作空间。</w:t>
            </w:r>
            <w:r>
              <w:rPr>
                <w:rFonts w:ascii="仿宋_GB2312" w:hAnsi="仿宋_GB2312" w:eastAsia="仿宋_GB2312"/>
                <w:b w:val="0"/>
                <w:sz w:val="24"/>
              </w:rPr>
              <w:t xml:space="preserve"> 提供全书层、章节层、语义层、概念层四种阅读尺度，分别回答“全书如何展开”“章节如何论证”“段落如何理解”“概念如何辨析”四类问题；</w:t>
            </w:r>
          </w:p>
          <w:p w14:paraId="16D750C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实现Agent驱动的辅助内容生产。</w:t>
            </w:r>
            <w:r>
              <w:rPr>
                <w:rFonts w:ascii="仿宋_GB2312" w:hAnsi="仿宋_GB2312" w:eastAsia="仿宋_GB2312"/>
                <w:b w:val="0"/>
                <w:sz w:val="24"/>
              </w:rPr>
              <w:t xml:space="preserve"> 由Agent生成结构化辅助材料，支持任务排队、进度事件、取消、重试和结果复核；</w:t>
            </w:r>
          </w:p>
          <w:p w14:paraId="0D7579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保证生成内容可追溯。</w:t>
            </w:r>
            <w:r>
              <w:rPr>
                <w:rFonts w:ascii="仿宋_GB2312" w:hAnsi="仿宋_GB2312" w:eastAsia="仿宋_GB2312"/>
                <w:b w:val="0"/>
                <w:sz w:val="24"/>
              </w:rPr>
              <w:t xml:space="preserve"> 每一条解释、论证步骤或概念说明尽可能绑定章节、段落、文本指纹和原文引文，读者可以从辅助内容回到原文核验；</w:t>
            </w:r>
          </w:p>
          <w:p w14:paraId="76CEAF5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保留读者的</w:t>
            </w:r>
            <w:r>
              <w:rPr>
                <w:rFonts w:hint="eastAsia" w:ascii="仿宋_GB2312" w:hAnsi="仿宋_GB2312" w:eastAsia="仿宋_GB2312"/>
                <w:b/>
                <w:sz w:val="24"/>
                <w:lang w:eastAsia="zh"/>
                <w:woUserID w:val="1"/>
              </w:rPr>
              <w:t>使用</w:t>
            </w:r>
            <w:r>
              <w:rPr>
                <w:rFonts w:ascii="仿宋_GB2312" w:hAnsi="仿宋_GB2312" w:eastAsia="仿宋_GB2312"/>
                <w:b/>
                <w:sz w:val="24"/>
              </w:rPr>
              <w:t>控制权。</w:t>
            </w:r>
            <w:r>
              <w:rPr>
                <w:rFonts w:ascii="仿宋_GB2312" w:hAnsi="仿宋_GB2312" w:eastAsia="仿宋_GB2312"/>
                <w:b w:val="0"/>
                <w:sz w:val="24"/>
              </w:rPr>
              <w:t xml:space="preserve"> AI生成的内容先进入候选稿或待核稿区，读者可以编辑、修订、采纳或放弃，不把模型输出直接当作定论；</w:t>
            </w:r>
          </w:p>
          <w:p w14:paraId="476D1AAA">
            <w:pPr>
              <w:spacing w:line="300" w:lineRule="auto"/>
              <w:ind w:firstLine="480" w:firstLineChars="200"/>
              <w:rPr>
                <w:rFonts w:hint="default" w:ascii="仿宋_GB2312" w:hAnsi="宋体" w:eastAsia="仿宋_GB2312" w:cs="仿宋_GB2312"/>
                <w:b w:val="0"/>
                <w:kern w:val="2"/>
                <w:sz w:val="24"/>
                <w:szCs w:val="24"/>
                <w:highlight w:val="none"/>
                <w:woUserID w:val="1"/>
              </w:rPr>
            </w:pPr>
            <w:r>
              <w:rPr>
                <w:rFonts w:ascii="仿宋_GB2312" w:hAnsi="仿宋_GB2312" w:eastAsia="仿宋_GB2312"/>
                <w:b w:val="0"/>
                <w:sz w:val="24"/>
              </w:rPr>
              <w:t xml:space="preserve">5. </w:t>
            </w:r>
            <w:r>
              <w:rPr>
                <w:rFonts w:hint="default" w:ascii="仿宋_GB2312" w:hAnsi="宋体" w:eastAsia="仿宋_GB2312" w:cs="仿宋_GB2312"/>
                <w:b/>
                <w:bCs w:val="0"/>
                <w:kern w:val="2"/>
                <w:sz w:val="24"/>
                <w:szCs w:val="24"/>
                <w:highlight w:val="none"/>
                <w:woUserID w:val="1"/>
              </w:rPr>
              <w:t>形成面向阅读任务的</w:t>
            </w:r>
            <w:r>
              <w:rPr>
                <w:rFonts w:hint="default" w:ascii="仿宋_GB2312" w:hAnsi="宋体" w:eastAsia="仿宋_GB2312" w:cs="Times New Roman"/>
                <w:b/>
                <w:bCs w:val="0"/>
                <w:kern w:val="2"/>
                <w:sz w:val="24"/>
                <w:szCs w:val="24"/>
                <w:highlight w:val="none"/>
                <w:woUserID w:val="1"/>
              </w:rPr>
              <w:t>Agent harness。</w:t>
            </w:r>
            <w:r>
              <w:rPr>
                <w:rFonts w:ascii="仿宋_GB2312" w:hAnsi="仿宋_GB2312" w:eastAsia="仿宋_GB2312"/>
                <w:b w:val="0"/>
                <w:sz w:val="24"/>
              </w:rPr>
              <w:t xml:space="preserve"> 将书籍、笔记、对话、任务等业务数据保留在Server端，把模型执行放入独立Agent服务，通过版本化接口和受控工具连接，</w:t>
            </w:r>
            <w:r>
              <w:rPr>
                <w:rFonts w:hint="default" w:ascii="仿宋_GB2312" w:hAnsi="宋体" w:eastAsia="仿宋_GB2312" w:cs="仿宋_GB2312"/>
                <w:b w:val="0"/>
                <w:kern w:val="2"/>
                <w:sz w:val="24"/>
                <w:szCs w:val="24"/>
                <w:highlight w:val="none"/>
                <w:woUserID w:val="1"/>
              </w:rPr>
              <w:t>使阅读器、任务面板和证据链共同构成可复用的工程底座；</w:t>
            </w:r>
          </w:p>
          <w:p w14:paraId="7FDB136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highlight w:val="green"/>
              </w:rPr>
              <w:t>6. 开展小规模应用评估。 通过自动化用例验收、专家评审和读者使用实验，检验工具对文本理解、论证把握和概念辨析的实际帮助；最终判定采用自动化硬门槛和用例通过率，专家评审和读者实验用于诊断。</w:t>
            </w:r>
          </w:p>
          <w:p w14:paraId="699165D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highlight w:val="green"/>
              </w:rPr>
              <w:t>项目的实践意义在于：为哲学社会科学著作、论文阅读提供一个结构清晰、来源可查、可编辑的AI辅助环境，降低长文本阅读中的信息整理成本和阅读负担；同时为数字人文工具的设计提供一个“Agent执行、证据约束、自动化验收”的可运行样例。</w:t>
            </w:r>
          </w:p>
          <w:p w14:paraId="23B4B8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项目的探索意义在于：把阅读任务转化为可分工、可校验、可追踪的Agent任务，探索生成式AI在人文社科阅读场景中如何从“给答案”转向“提供有依据的阅读支持”。</w:t>
            </w:r>
          </w:p>
        </w:tc>
      </w:tr>
      <w:tr w14:paraId="26C6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1BE4CB19">
            <w:pPr>
              <w:keepLines/>
              <w:rPr>
                <w:b/>
                <w:sz w:val="24"/>
              </w:rPr>
            </w:pPr>
            <w:r>
              <w:rPr>
                <w:rFonts w:hint="eastAsia"/>
                <w:b/>
                <w:sz w:val="24"/>
              </w:rPr>
              <w:t>项目申请理由</w:t>
            </w:r>
          </w:p>
        </w:tc>
        <w:tc>
          <w:tcPr>
            <w:tcW w:w="9459" w:type="dxa"/>
          </w:tcPr>
          <w:p w14:paraId="33503322">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（项目团队成员具备的知识基础、能力素养、兴趣特长和已参加的科研等条件）</w:t>
            </w:r>
          </w:p>
          <w:p w14:paraId="6B1D6BE6">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一、项目成员已具备的知识基础与能力素养</w:t>
            </w:r>
          </w:p>
          <w:p w14:paraId="1CD0402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项目团队由社会与公共管理学院学生组成，</w:t>
            </w:r>
            <w:r>
              <w:rPr>
                <w:rFonts w:hint="eastAsia" w:ascii="仿宋_GB2312" w:hAnsi="仿宋_GB2312" w:eastAsia="仿宋_GB2312"/>
                <w:b w:val="0"/>
                <w:sz w:val="24"/>
                <w:lang w:eastAsia="zh"/>
                <w:woUserID w:val="2"/>
              </w:rPr>
              <w:t>依托学院开展的专业课程与学院通海湖读书社提供的阅读训练，成员具有良好的</w:t>
            </w:r>
            <w:r>
              <w:rPr>
                <w:rFonts w:ascii="仿宋_GB2312" w:hAnsi="仿宋_GB2312" w:eastAsia="仿宋_GB2312"/>
                <w:b w:val="0"/>
                <w:sz w:val="24"/>
              </w:rPr>
              <w:t>自主阅读</w:t>
            </w:r>
            <w:r>
              <w:rPr>
                <w:rFonts w:hint="eastAsia" w:ascii="仿宋_GB2312" w:hAnsi="仿宋_GB2312" w:eastAsia="仿宋_GB2312"/>
                <w:b w:val="0"/>
                <w:sz w:val="24"/>
                <w:lang w:eastAsia="zh"/>
                <w:woUserID w:val="2"/>
              </w:rPr>
              <w:t>与</w:t>
            </w:r>
            <w:r>
              <w:rPr>
                <w:rFonts w:ascii="仿宋_GB2312" w:hAnsi="仿宋_GB2312" w:eastAsia="仿宋_GB2312"/>
                <w:b w:val="0"/>
                <w:sz w:val="24"/>
              </w:rPr>
              <w:t>项目实践</w:t>
            </w:r>
            <w:r>
              <w:rPr>
                <w:rFonts w:hint="eastAsia" w:ascii="仿宋_GB2312" w:hAnsi="仿宋_GB2312" w:eastAsia="仿宋_GB2312"/>
                <w:b w:val="0"/>
                <w:sz w:val="24"/>
                <w:lang w:eastAsia="zh"/>
                <w:woUserID w:val="2"/>
              </w:rPr>
              <w:t>基础</w:t>
            </w:r>
            <w:r>
              <w:rPr>
                <w:rFonts w:ascii="仿宋_GB2312" w:hAnsi="仿宋_GB2312" w:eastAsia="仿宋_GB2312"/>
                <w:b w:val="0"/>
                <w:sz w:val="24"/>
              </w:rPr>
              <w:t>，接受过哲学社会科学阅读、社会科学研究方法和公共管理学科的基础训练。</w:t>
            </w:r>
          </w:p>
          <w:p w14:paraId="297D5D4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知识基础方面，成员经过系统学习，已掌握社会学、公共管理等学科的基础理论，熟悉概念辨析、理论框架梳理、论证逻辑还原和文本比较等阅读方法；能够围绕研究问题完成文献检索、资料整理、研究综述和学术写作，具备提炼论点、组织论证和修改文稿的能力。同时，成员具备阅读哲学社会科学经典著作的经验，能够识别文本中的核心概念、论证层次和理论分歧，并把这些能力用于辅助阅读工具的需求分析、语料标注和效果评估。</w:t>
            </w:r>
          </w:p>
          <w:p w14:paraId="51DE63C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实证研究方面，成员学习并实践过问卷调查、访谈、案例分析和基础数据处理，能够根据研究问题选择合适的研究方法，完成研究设计、资料收集、结果整理与分析。</w:t>
            </w:r>
          </w:p>
          <w:p w14:paraId="6A612B3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技术储备方面，成员辅修计算机科学与技术相关课程，具备Python编程、Web应用开发、数据库使用和AI应用开发的基础，能够理解大语言模型、Agent、检索增强生成（RAG）和前后端接口的基本原理，并能在AI辅助下完成原型开发、调试和测试。团队熟悉Git协作、接口调试、数据建模和本地部署，</w:t>
            </w:r>
            <w:r>
              <w:rPr>
                <w:rFonts w:hint="eastAsia" w:ascii="仿宋_GB2312" w:hAnsi="仿宋_GB2312" w:eastAsia="仿宋_GB2312"/>
                <w:b w:val="0"/>
                <w:sz w:val="24"/>
                <w:lang w:val="en-US" w:eastAsia="zh-CN"/>
              </w:rPr>
              <w:t>并通过实践掌握了软件开发的相关能力，</w:t>
            </w:r>
            <w:r>
              <w:rPr>
                <w:rFonts w:ascii="仿宋_GB2312" w:hAnsi="仿宋_GB2312" w:eastAsia="仿宋_GB2312"/>
                <w:b w:val="0"/>
                <w:sz w:val="24"/>
              </w:rPr>
              <w:t>能够把人文社科阅读需求转化为可实现的软件功能。</w:t>
            </w:r>
          </w:p>
          <w:p w14:paraId="00D2D64E">
            <w:pPr>
              <w:numPr>
                <w:ilvl w:val="0"/>
                <w:numId w:val="0"/>
              </w:numPr>
              <w:spacing w:line="300" w:lineRule="auto"/>
              <w:jc w:val="left"/>
              <w:rPr>
                <w:rFonts w:ascii="仿宋_GB2312" w:hAnsi="仿宋_GB2312" w:eastAsia="仿宋_GB2312"/>
                <w:b/>
                <w:sz w:val="24"/>
              </w:rPr>
            </w:pPr>
          </w:p>
          <w:p w14:paraId="43BD53C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二、项目已取得的进展</w:t>
            </w:r>
          </w:p>
          <w:p w14:paraId="106E690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项目目前已经完成一个可运行的辅助阅读原型，主要进展包括：</w:t>
            </w:r>
          </w:p>
          <w:p w14:paraId="44B499D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（1）</w:t>
            </w:r>
            <w:r>
              <w:rPr>
                <w:rFonts w:ascii="仿宋_GB2312" w:hAnsi="仿宋_GB2312" w:eastAsia="仿宋_GB2312"/>
                <w:b/>
                <w:sz w:val="24"/>
              </w:rPr>
              <w:t>书籍导入与阅读工作区。</w:t>
            </w:r>
            <w:r>
              <w:rPr>
                <w:rFonts w:ascii="仿宋_GB2312" w:hAnsi="仿宋_GB2312" w:eastAsia="仿宋_GB2312"/>
                <w:b w:val="0"/>
                <w:sz w:val="24"/>
              </w:rPr>
              <w:t xml:space="preserve"> 支持EPUB/TXT导入，能够在本地书库中管理书籍，并在阅读器中显示目录、正文、图片和章节导航；</w:t>
            </w:r>
          </w:p>
          <w:p w14:paraId="73D2EF98">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（2）</w:t>
            </w:r>
            <w:r>
              <w:rPr>
                <w:rFonts w:ascii="仿宋_GB2312" w:hAnsi="仿宋_GB2312" w:eastAsia="仿宋_GB2312"/>
                <w:b/>
                <w:sz w:val="24"/>
              </w:rPr>
              <w:t>文本定位基础。</w:t>
            </w:r>
            <w:r>
              <w:rPr>
                <w:rFonts w:ascii="仿宋_GB2312" w:hAnsi="仿宋_GB2312" w:eastAsia="仿宋_GB2312"/>
                <w:b w:val="0"/>
                <w:sz w:val="24"/>
              </w:rPr>
              <w:t xml:space="preserve"> 建立了章节—标题区—段落的定位表，阅读位置、段落解释、笔记和引用使用统一的章/段坐标，避免不同功能各算一套位置；</w:t>
            </w:r>
          </w:p>
          <w:p w14:paraId="64FE365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（3）</w:t>
            </w:r>
            <w:r>
              <w:rPr>
                <w:rFonts w:ascii="仿宋_GB2312" w:hAnsi="仿宋_GB2312" w:eastAsia="仿宋_GB2312"/>
                <w:b/>
                <w:sz w:val="24"/>
              </w:rPr>
              <w:t>四层辅助内容。</w:t>
            </w:r>
            <w:r>
              <w:rPr>
                <w:rFonts w:ascii="仿宋_GB2312" w:hAnsi="仿宋_GB2312" w:eastAsia="仿宋_GB2312"/>
                <w:b w:val="0"/>
                <w:sz w:val="24"/>
              </w:rPr>
              <w:t xml:space="preserve"> 已实现全书层、章节层、语义层、概念层的数据结构、生成任务和阅读展示；其中语义层可生成段落旁注，概念层可保存概念解释和原文证据；</w:t>
            </w:r>
          </w:p>
          <w:p w14:paraId="676DEE2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（4）</w:t>
            </w:r>
            <w:r>
              <w:rPr>
                <w:rFonts w:ascii="仿宋_GB2312" w:hAnsi="仿宋_GB2312" w:eastAsia="仿宋_GB2312"/>
                <w:b/>
                <w:sz w:val="24"/>
              </w:rPr>
              <w:t>Agent任务与复核流程。</w:t>
            </w:r>
            <w:r>
              <w:rPr>
                <w:rFonts w:ascii="仿宋_GB2312" w:hAnsi="仿宋_GB2312" w:eastAsia="仿宋_GB2312"/>
                <w:b w:val="0"/>
                <w:sz w:val="24"/>
              </w:rPr>
              <w:t xml:space="preserve"> 已实现Agent任务的创建、进度事件、取消、失败重试和重启恢复；Agent生成结果可进入候选稿或待核稿，由读者审阅后采纳；</w:t>
            </w:r>
          </w:p>
          <w:p w14:paraId="245E95D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（5）</w:t>
            </w:r>
            <w:r>
              <w:rPr>
                <w:rFonts w:ascii="仿宋_GB2312" w:hAnsi="仿宋_GB2312" w:eastAsia="仿宋_GB2312"/>
                <w:b/>
                <w:sz w:val="24"/>
              </w:rPr>
              <w:t>阅读对话与笔记。</w:t>
            </w:r>
            <w:r>
              <w:rPr>
                <w:rFonts w:ascii="仿宋_GB2312" w:hAnsi="仿宋_GB2312" w:eastAsia="仿宋_GB2312"/>
                <w:b w:val="0"/>
                <w:sz w:val="24"/>
              </w:rPr>
              <w:t xml:space="preserve"> 已实现按书保存的对话、引用选段、@章节补全、流式回答、停止与重试、Markdown导出和对话摘记；笔记支持四层编辑、保存冲突检测和列表查看；</w:t>
            </w:r>
          </w:p>
          <w:p w14:paraId="669CA56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（6）</w:t>
            </w:r>
            <w:r>
              <w:rPr>
                <w:rFonts w:ascii="仿宋_GB2312" w:hAnsi="仿宋_GB2312" w:eastAsia="仿宋_GB2312"/>
                <w:b/>
                <w:sz w:val="24"/>
              </w:rPr>
              <w:t>接口与运行结构。</w:t>
            </w:r>
            <w:r>
              <w:rPr>
                <w:rFonts w:ascii="仿宋_GB2312" w:hAnsi="仿宋_GB2312" w:eastAsia="仿宋_GB2312"/>
                <w:b w:val="0"/>
                <w:sz w:val="24"/>
              </w:rPr>
              <w:t xml:space="preserve"> 已完成Server与Agent服务的分离：Server负责书籍、笔记、任务、对话等业务数据和页面接口，Agent服务只接收任务、模型配置和工具描述，通过受控回调读取或写入业务数据；两者通过版本化接口、SSE事件和共享认证令牌通信；</w:t>
            </w:r>
          </w:p>
          <w:p w14:paraId="47490962">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（7）</w:t>
            </w:r>
            <w:r>
              <w:rPr>
                <w:rFonts w:ascii="仿宋_GB2312" w:hAnsi="仿宋_GB2312" w:eastAsia="仿宋_GB2312"/>
                <w:b/>
                <w:sz w:val="24"/>
              </w:rPr>
              <w:t>基础设施与测试。</w:t>
            </w:r>
            <w:r>
              <w:rPr>
                <w:rFonts w:ascii="仿宋_GB2312" w:hAnsi="仿宋_GB2312" w:eastAsia="仿宋_GB2312"/>
                <w:b w:val="0"/>
                <w:sz w:val="24"/>
              </w:rPr>
              <w:t xml:space="preserve"> 已形成基于FastAPI、SQLite、OpenAI Agents SDK和静态Web前端的本地原型，建立了离线集成测试和浏览器端到端验收脚本，覆盖导入、阅读、任务、笔记、对话、搜索和布局等主要路径。</w:t>
            </w:r>
          </w:p>
          <w:p w14:paraId="1E900B1D">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当前原型已经能够完成“导入一本书—阅读—生成某层辅助内容—查看进度—复核或采纳—记笔记/对话”的基本闭环。下一阶段的工作重点不是从零搭建，而是围绕真实阅读任务做质量打磨、评估和成果整理。</w:t>
            </w:r>
          </w:p>
          <w:p w14:paraId="0EFDB5A5">
            <w:pPr>
              <w:numPr>
                <w:ilvl w:val="0"/>
                <w:numId w:val="0"/>
              </w:numPr>
              <w:spacing w:line="300" w:lineRule="auto"/>
              <w:jc w:val="left"/>
              <w:rPr>
                <w:rFonts w:ascii="仿宋_GB2312" w:hAnsi="仿宋_GB2312" w:eastAsia="仿宋_GB2312"/>
                <w:b/>
                <w:sz w:val="24"/>
              </w:rPr>
            </w:pPr>
          </w:p>
          <w:p w14:paraId="29FAD39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三、项目已取得的支持条件</w:t>
            </w:r>
          </w:p>
          <w:p w14:paraId="49727EC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团队与指导教师保持稳定协作，教师可在选题、研究设计、论文写作规范、用户调研和项目推进方面提供指导。项目可使用学校图书馆的中外文学术期刊和哲学社会科学数据库，也可使用国家哲学社会科学文献中心、Project Gutenberg等公开资源作为验证语料。</w:t>
            </w:r>
            <w:r>
              <w:rPr>
                <w:rFonts w:ascii="仿宋_GB2312" w:hAnsi="仿宋_GB2312" w:eastAsia="仿宋_GB2312"/>
                <w:b w:val="0"/>
                <w:sz w:val="24"/>
                <w:highlight w:val="green"/>
              </w:rPr>
              <w:t>项目已具备本地Python运行环境、浏览器验收环境和兼容OpenAI接口的模型服务，可支撑原型迭代、离线测试和小规模实验。</w:t>
            </w:r>
          </w:p>
        </w:tc>
      </w:tr>
    </w:tbl>
    <w:p w14:paraId="25988E86">
      <w:pPr>
        <w:keepNext/>
        <w:keepLines/>
        <w:spacing w:before="312" w:beforeLines="100" w:after="156" w:afterLines="50"/>
        <w:ind w:right="-512" w:rightChars="-244"/>
        <w:rPr>
          <w:b/>
          <w:sz w:val="32"/>
          <w:szCs w:val="32"/>
        </w:rPr>
      </w:pPr>
      <w:r>
        <w:rPr>
          <w:b/>
          <w:sz w:val="32"/>
          <w:szCs w:val="32"/>
        </w:rPr>
        <w:br w:type="page"/>
      </w:r>
      <w:r>
        <w:rPr>
          <w:rFonts w:hint="eastAsia"/>
          <w:b/>
          <w:sz w:val="32"/>
          <w:szCs w:val="32"/>
        </w:rPr>
        <w:t>三、项目研究内容</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64B0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8A0711C">
            <w:pPr>
              <w:keepLines/>
              <w:rPr>
                <w:b/>
                <w:sz w:val="24"/>
              </w:rPr>
            </w:pPr>
            <w:r>
              <w:rPr>
                <w:rFonts w:hint="eastAsia"/>
                <w:b/>
                <w:sz w:val="24"/>
                <w:szCs w:val="22"/>
              </w:rPr>
              <w:t>项目研究的主要内容及目标</w:t>
            </w:r>
          </w:p>
        </w:tc>
        <w:tc>
          <w:tcPr>
            <w:tcW w:w="9458" w:type="dxa"/>
          </w:tcPr>
          <w:p w14:paraId="40A2C102">
            <w:pPr>
              <w:spacing w:line="300" w:lineRule="auto"/>
              <w:rPr>
                <w:rFonts w:ascii="仿宋_GB2312" w:hAnsi="宋体" w:eastAsia="仿宋_GB2312"/>
                <w:sz w:val="24"/>
              </w:rPr>
            </w:pPr>
            <w:r>
              <w:rPr>
                <w:rFonts w:hint="eastAsia" w:ascii="仿宋_GB2312" w:hAnsi="宋体" w:eastAsia="仿宋_GB2312"/>
                <w:sz w:val="24"/>
              </w:rPr>
              <w:t>（主要研究内容，重点和难点，研究思路和方法等）</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一、系统结构与功能概览</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系统按“阅读器前端—Server业务层—Agent执行层—模型服务”组织：阅读器负责书库、正文、目录、搜索、笔记、对话和任务面板；Server管理书籍、章节、段落、任务、笔记、对话和设置，并向前端提供版本化接口；Agent服务负责任务规划、工具调用、分层生成和证据回填；模型服务提供生成能力。</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功能分为六组：书库与导入、阅读与定位、四层辅助内容、任务与复核、笔记与对话、设置与运行管理。四层阅读工作空间贯穿其中，原文定位、证据链和自动验收作为跨功能约束。</w:t>
            </w:r>
          </w:p>
          <w:p w14:paraId="78AC444A">
            <w:pPr>
              <w:keepNext w:val="0"/>
              <w:keepLines w:val="0"/>
              <w:widowControl w:val="0"/>
              <w:suppressLineNumbers w:val="0"/>
              <w:spacing w:before="0" w:beforeAutospacing="0" w:after="0" w:afterAutospacing="0" w:line="300" w:lineRule="auto"/>
              <w:ind w:left="0" w:right="0" w:firstLineChars="200" w:firstLine="0"/>
              <w:jc w:val="center"/>
              <w:rPr>
                <w:rFonts w:hint="default" w:ascii="仿宋_GB2312" w:hAnsi="Times New Roman" w:eastAsia="仿宋_GB2312" w:cs="Times New Roman"/>
                <w:kern w:val="2"/>
                <w:sz w:val="24"/>
                <w:szCs w:val="24"/>
                <w:lang w:val="en-US" w:eastAsia="zh-CN" w:bidi="ar"/>
                <w:woUserID w:val="2"/>
              </w:rPr>
            </w:pPr>
            <w:r>
              <w:drawing>
                <wp:inline xmlns:a="http://schemas.openxmlformats.org/drawingml/2006/main" xmlns:pic="http://schemas.openxmlformats.org/drawingml/2006/picture">
                  <wp:extent cx="5623560" cy="3543466"/>
                  <wp:docPr id="6" name="Picture 6"/>
                  <wp:cNvGraphicFramePr>
                    <a:graphicFrameLocks noChangeAspect="1"/>
                  </wp:cNvGraphicFramePr>
                  <a:graphic>
                    <a:graphicData uri="http://schemas.openxmlformats.org/drawingml/2006/picture">
                      <pic:pic>
                        <pic:nvPicPr>
                          <pic:cNvPr id="0" name="系统结构功能图.png"/>
                          <pic:cNvPicPr/>
                        </pic:nvPicPr>
                        <pic:blipFill>
                          <a:blip r:embed="rId3"/>
                          <a:stretch>
                            <a:fillRect/>
                          </a:stretch>
                        </pic:blipFill>
                        <pic:spPr>
                          <a:xfrm>
                            <a:off x="0" y="0"/>
                            <a:ext cx="5623560" cy="3543466"/>
                          </a:xfrm>
                          <a:prstGeom prst="rect"/>
                        </pic:spPr>
                      </pic:pic>
                    </a:graphicData>
                  </a:graphic>
                </wp:inline>
              </w:drawing>
            </w:r>
          </w:p>
          <w:p w14:paraId="78AC444A">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1"/>
                <w:highlight w:val="green"/>
              </w:rPr>
              <w:t>图1  系统结构与功能关系图</w:t>
            </w:r>
          </w:p>
          <w:p w14:paraId="78AC444A">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1"/>
              </w:rPr>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二、四层阅读工作空间的设计</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阅读一部哲学社会科学著作时，读者通常同时面对全书结构、章节论证、段落语义和概念辨析四类问题。项目据此设置四个阅读尺度；四者分别对应四类阅读任务，共用原文定位和证据，可单独调用，也可组合使用。</w:t>
            </w:r>
          </w:p>
          <w:p w14:paraId="792D916D">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全书层（L1）：这本书围绕什么问题展开？总体结构、核心论点和章节关系是什么？全书问题意识、结构地图、论证主线、章节关系、核心概念清单</w:t>
            </w:r>
            <w:r>
              <w:rPr>
                <w:rFonts w:hint="eastAsia" w:ascii="仿宋_GB2312" w:hAnsi="仿宋_GB2312" w:eastAsia="仿宋_GB2312"/>
                <w:b w:val="0"/>
                <w:sz w:val="24"/>
                <w:lang w:eastAsia="zh-CN"/>
              </w:rPr>
              <w:t>；</w:t>
            </w:r>
          </w:p>
          <w:p w14:paraId="7C7F1110">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章节层（L2）：本章在全书中承担什么功能？论证如何推进？在哪里转折？章节定位、论证步骤、关键转折、承接关系、证据位置</w:t>
            </w:r>
            <w:r>
              <w:rPr>
                <w:rFonts w:hint="eastAsia" w:ascii="仿宋_GB2312" w:hAnsi="仿宋_GB2312" w:eastAsia="仿宋_GB2312"/>
                <w:b w:val="0"/>
                <w:sz w:val="24"/>
                <w:lang w:eastAsia="zh-CN"/>
              </w:rPr>
              <w:t>；</w:t>
            </w:r>
          </w:p>
          <w:p w14:paraId="7E617D14">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语义层（L3）：这一段说了什么？句与句、段与段之间是什么关系？要点提炼、通俗解释、句段关系、上下文说明、原文引用</w:t>
            </w:r>
            <w:r>
              <w:rPr>
                <w:rFonts w:hint="eastAsia" w:ascii="仿宋_GB2312" w:hAnsi="仿宋_GB2312" w:eastAsia="仿宋_GB2312"/>
                <w:b w:val="0"/>
                <w:sz w:val="24"/>
                <w:lang w:eastAsia="zh-CN"/>
              </w:rPr>
              <w:t>；</w:t>
            </w:r>
          </w:p>
          <w:p w14:paraId="1A2101D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概念层（L4）：这个概念在文本中如何定义？有哪些常见理解？与哪些概念相关？术语定义、多义辨析、概念关系、文本证据、使用范围说明</w:t>
            </w:r>
            <w:r>
              <w:rPr>
                <w:rFonts w:hint="eastAsia" w:ascii="仿宋_GB2312" w:hAnsi="仿宋_GB2312" w:eastAsia="仿宋_GB2312"/>
                <w:b w:val="0"/>
                <w:sz w:val="24"/>
                <w:lang w:eastAsia="zh-CN"/>
              </w:rPr>
              <w:t>。</w:t>
            </w:r>
          </w:p>
          <w:p w14:paraId="6BA830E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b w:val="0"/>
                <w:bCs/>
                <w:kern w:val="2"/>
                <w:sz w:val="24"/>
                <w:szCs w:val="24"/>
                <w:lang w:val="en-US" w:eastAsia="zh-CN" w:bidi="ar"/>
                <w:woUserID w:val="2"/>
              </w:rPr>
            </w:pPr>
            <w:r>
              <w:rPr>
                <w:rFonts w:ascii="仿宋_GB2312" w:hAnsi="仿宋_GB2312" w:eastAsia="仿宋_GB2312"/>
                <w:b w:val="0"/>
                <w:bCs/>
                <w:sz w:val="24"/>
              </w:rPr>
              <w:t>四层设计的文本学依据：</w:t>
            </w:r>
          </w:p>
          <w:p w14:paraId="1428C81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全书层与“整体—部分”循环。</w:t>
            </w:r>
            <w:r>
              <w:rPr>
                <w:rFonts w:ascii="仿宋_GB2312" w:hAnsi="仿宋_GB2312" w:eastAsia="仿宋_GB2312"/>
                <w:b w:val="0"/>
                <w:sz w:val="24"/>
              </w:rPr>
              <w:t xml:space="preserve"> 诠释学传统强调，理解一部作品既要从整体把握部分，也要通过部分修正整体。全书层先给出问题意识、结构地图和章节关系，为后续阅读提供可修正的整体框架；章节层和语义层再反向补充、校正这个框架。</w:t>
            </w:r>
          </w:p>
          <w:p w14:paraId="7A21468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章节层与论证分析。</w:t>
            </w:r>
            <w:r>
              <w:rPr>
                <w:rFonts w:ascii="仿宋_GB2312" w:hAnsi="仿宋_GB2312" w:eastAsia="仿宋_GB2312"/>
                <w:b w:val="0"/>
                <w:sz w:val="24"/>
              </w:rPr>
              <w:t xml:space="preserve"> 哲学社会科学著作的章节通常不是简单的内容容器，而是论证单元。借助论证结构分析，可以识别章节的主张、理由、证据、限定和转折，避免把章节阅读降格为内容摘要。</w:t>
            </w:r>
          </w:p>
          <w:p w14:paraId="3005A04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语义层与文本细读。</w:t>
            </w:r>
            <w:r>
              <w:rPr>
                <w:rFonts w:ascii="仿宋_GB2312" w:hAnsi="仿宋_GB2312" w:eastAsia="仿宋_GB2312"/>
                <w:b w:val="0"/>
                <w:sz w:val="24"/>
              </w:rPr>
              <w:t xml:space="preserve"> 文本细读关注词语、句式、指代、转折和上下文关系。语义层不替代原文，而是把段落中的关键句、难句和逻辑关系标出来，帮助读者回到文本本身。</w:t>
            </w:r>
          </w:p>
          <w:p w14:paraId="00F7E2E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概念层与概念史/概念分析。</w:t>
            </w:r>
            <w:r>
              <w:rPr>
                <w:rFonts w:ascii="仿宋_GB2312" w:hAnsi="仿宋_GB2312" w:eastAsia="仿宋_GB2312"/>
                <w:b w:val="0"/>
                <w:sz w:val="24"/>
              </w:rPr>
              <w:t xml:space="preserve"> 哲学社会科学文本中的核心概念往往具有多义性、历史性和论战性。概念层需要区分日常用法、作者用法和不同语境中的含义，并通过概念关系网络展示其位置，而不是给出一个脱离语境的“标准答案”。</w:t>
            </w:r>
          </w:p>
          <w:p w14:paraId="4C4F9E4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之间不是单向流水线，而是“整体提供约束、局部反馈修正”的关系：全书层为章节层提供位置和问题框架，章节层为语义层提供论证语境，语义层为概念层提供原文证据；概念层和语义层发现的不一致，又可以反馈到章节层和全书层，形成可修订的阅读闭环。</w:t>
            </w:r>
          </w:p>
          <w:p w14:paraId="1EE573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四层阅读工作空间之间的关系如下图所示。</w:t>
            </w:r>
          </w:p>
          <w:p w14:paraId="4AD424E7">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drawing>
                <wp:inline distT="0" distB="0" distL="114300" distR="114300">
                  <wp:extent cx="5039995" cy="3506470"/>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040000" cy="3507000"/>
                          </a:xfrm>
                          <a:prstGeom prst="rect">
                            <a:avLst/>
                          </a:prstGeom>
                        </pic:spPr>
                      </pic:pic>
                    </a:graphicData>
                  </a:graphic>
                </wp:inline>
              </w:drawing>
            </w:r>
          </w:p>
          <w:p w14:paraId="78AC444A">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1"/>
                <w:highlight w:val="green"/>
              </w:rPr>
              <w:t>图2  四层阅读工作空间关系示意图</w:t>
            </w:r>
          </w:p>
          <w:p w14:paraId="663FDFD5">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p>
          <w:p w14:paraId="24523721">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三、Agent驱动的任务组织</w:t>
            </w:r>
          </w:p>
          <w:p w14:paraId="699527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项目将每一层阅读任务转化为可由Agent执行的明确任务，并保留人工复核环节：</w:t>
            </w:r>
          </w:p>
          <w:p w14:paraId="2C59359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全书概览任务：</w:t>
            </w:r>
            <w:r>
              <w:rPr>
                <w:rFonts w:ascii="仿宋_GB2312" w:hAnsi="仿宋_GB2312" w:eastAsia="仿宋_GB2312"/>
                <w:b w:val="0"/>
                <w:sz w:val="24"/>
              </w:rPr>
              <w:t xml:space="preserve"> 在通读全书目录、章节标题和关键段落的基础上，生成全书问题、结构、论证主线和章节关系；</w:t>
            </w:r>
          </w:p>
          <w:p w14:paraId="71587B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章节论证任务：</w:t>
            </w:r>
            <w:r>
              <w:rPr>
                <w:rFonts w:ascii="仿宋_GB2312" w:hAnsi="仿宋_GB2312" w:eastAsia="仿宋_GB2312"/>
                <w:b w:val="0"/>
                <w:sz w:val="24"/>
              </w:rPr>
              <w:t xml:space="preserve"> 读取指定章节的标题树、段落和上下文，输出章节定位、论证步骤、转折和证据；</w:t>
            </w:r>
          </w:p>
          <w:p w14:paraId="65C8E20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语义解析任务：</w:t>
            </w:r>
            <w:r>
              <w:rPr>
                <w:rFonts w:ascii="仿宋_GB2312" w:hAnsi="仿宋_GB2312" w:eastAsia="仿宋_GB2312"/>
                <w:b w:val="0"/>
                <w:sz w:val="24"/>
              </w:rPr>
              <w:t xml:space="preserve"> 针对指定段落生成要点、释义、句段关系和上下文说明；</w:t>
            </w:r>
          </w:p>
          <w:p w14:paraId="25F04EB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概念辨析任务：</w:t>
            </w:r>
            <w:r>
              <w:rPr>
                <w:rFonts w:ascii="仿宋_GB2312" w:hAnsi="仿宋_GB2312" w:eastAsia="仿宋_GB2312"/>
                <w:b w:val="0"/>
                <w:sz w:val="24"/>
              </w:rPr>
              <w:t xml:space="preserve"> 从选中的术语或段落出发，结合原文证据生成定义、辨析和概念关系；</w:t>
            </w:r>
          </w:p>
          <w:p w14:paraId="6389D65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对话任务：</w:t>
            </w:r>
            <w:r>
              <w:rPr>
                <w:rFonts w:ascii="仿宋_GB2312" w:hAnsi="仿宋_GB2312" w:eastAsia="仿宋_GB2312"/>
                <w:b w:val="0"/>
                <w:sz w:val="24"/>
              </w:rPr>
              <w:t xml:space="preserve"> 在书籍范围内回答读者问题，支持引用选段、章节和多轮对话；</w:t>
            </w:r>
          </w:p>
          <w:p w14:paraId="6F958E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（6）</w:t>
            </w:r>
            <w:r>
              <w:rPr>
                <w:rFonts w:ascii="仿宋_GB2312" w:hAnsi="仿宋_GB2312" w:eastAsia="仿宋_GB2312"/>
                <w:b/>
                <w:sz w:val="24"/>
              </w:rPr>
              <w:t>复核任务：</w:t>
            </w:r>
            <w:r>
              <w:rPr>
                <w:rFonts w:ascii="仿宋_GB2312" w:hAnsi="仿宋_GB2312" w:eastAsia="仿宋_GB2312"/>
                <w:b w:val="0"/>
                <w:sz w:val="24"/>
              </w:rPr>
              <w:t xml:space="preserve"> 对生成内容进行独立检查，标记证据不足、范围越界或结构不一致之处。</w:t>
            </w:r>
          </w:p>
          <w:p w14:paraId="1FD830B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每个任务具有明确的输入范围、输出结构、请求预算、工具预算和超时限制，支持取消、失败重试和中断恢复。任务结果先进入候选稿或待核稿，不直接覆盖原文或读者笔记。</w:t>
            </w:r>
          </w:p>
          <w:p w14:paraId="014DAD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sz w:val="24"/>
              </w:rPr>
              <w:t>任务说明同时约束材料范围、输出字段、证据要求和禁止事项；上层输出作为下层上下文注入，减少越界解释和层间矛盾。</w:t>
            </w:r>
          </w:p>
          <w:p w14:paraId="014DAD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任务设计的前提是先把“好的辅助内容”定义清楚：它要能回答该尺度的问题，有可回溯的原文依据，与相邻层不矛盾，读者可以直接核对。项目把上述要求拆成用例（输入文本、期望输出、证据要求、失败样例），再由任务字段和自动校验规则约束Agent稳定生产；用例库同时作为评估和回归测试的共同基准。</w:t>
            </w:r>
          </w:p>
          <w:p w14:paraId="148DD0B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26F4FE92">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四、Server与Agent分离的工程结构</w:t>
            </w:r>
          </w:p>
          <w:p w14:paraId="0790822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项目采用“Server管数据、Agent管执行”的结构：</w:t>
            </w:r>
          </w:p>
          <w:p w14:paraId="03EA0B4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Server：</w:t>
            </w:r>
            <w:r>
              <w:rPr>
                <w:rFonts w:ascii="仿宋_GB2312" w:hAnsi="仿宋_GB2312" w:eastAsia="仿宋_GB2312"/>
                <w:b w:val="0"/>
                <w:sz w:val="24"/>
              </w:rPr>
              <w:t xml:space="preserve"> 管理书库、章节、段落、笔记、对话、任务状态和页面接口；拥有业务数据库的读写权；向前端提供版本化API；</w:t>
            </w:r>
          </w:p>
          <w:p w14:paraId="2018A22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Agent服务：</w:t>
            </w:r>
            <w:r>
              <w:rPr>
                <w:rFonts w:ascii="仿宋_GB2312" w:hAnsi="仿宋_GB2312" w:eastAsia="仿宋_GB2312"/>
                <w:b w:val="0"/>
                <w:sz w:val="24"/>
              </w:rPr>
              <w:t xml:space="preserve"> 只接收任务、模型配置和工具描述，不直接打开书籍数据库；需要读取原文、保存结果或校验提交时，通过带认证的内部回调请求Server执行；</w:t>
            </w:r>
          </w:p>
          <w:p w14:paraId="1C17F8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接口契约：</w:t>
            </w:r>
            <w:r>
              <w:rPr>
                <w:rFonts w:ascii="仿宋_GB2312" w:hAnsi="仿宋_GB2312" w:eastAsia="仿宋_GB2312"/>
                <w:b w:val="0"/>
                <w:sz w:val="24"/>
              </w:rPr>
              <w:t xml:space="preserve"> 使用版本化请求模型和结构化输出，Agent与Server可以独立替换、测试和部署；</w:t>
            </w:r>
          </w:p>
          <w:p w14:paraId="2E311A8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事件流：</w:t>
            </w:r>
            <w:r>
              <w:rPr>
                <w:rFonts w:ascii="仿宋_GB2312" w:hAnsi="仿宋_GB2312" w:eastAsia="仿宋_GB2312"/>
                <w:b w:val="0"/>
                <w:sz w:val="24"/>
              </w:rPr>
              <w:t xml:space="preserve"> 任务进度和对话增量通过SSE返回，支持断线续读和状态恢复；</w:t>
            </w:r>
          </w:p>
          <w:p w14:paraId="12D29F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本地优先：</w:t>
            </w:r>
            <w:r>
              <w:rPr>
                <w:rFonts w:ascii="仿宋_GB2312" w:hAnsi="仿宋_GB2312" w:eastAsia="仿宋_GB2312"/>
                <w:b w:val="0"/>
                <w:sz w:val="24"/>
              </w:rPr>
              <w:t xml:space="preserve"> 书籍、笔记和对话保存在本机，默认不依赖外部业务数据库，便于个人使用和教学演示。</w:t>
            </w:r>
          </w:p>
          <w:p w14:paraId="3053595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仿宋_GB2312" w:eastAsia="仿宋_GB2312"/>
                <w:b w:val="0"/>
                <w:sz w:val="24"/>
                <w:lang w:val="en-US" w:eastAsia="zh-CN"/>
              </w:rPr>
            </w:pPr>
            <w:r>
              <w:rPr>
                <w:rFonts w:ascii="仿宋_GB2312" w:hAnsi="仿宋_GB2312" w:eastAsia="仿宋_GB2312"/>
                <w:b w:val="0"/>
                <w:sz w:val="24"/>
              </w:rPr>
              <w:t>这一结构</w:t>
            </w:r>
            <w:r>
              <w:rPr>
                <w:rFonts w:hint="eastAsia" w:ascii="仿宋_GB2312" w:hAnsi="仿宋_GB2312" w:eastAsia="仿宋_GB2312"/>
                <w:b w:val="0"/>
                <w:sz w:val="24"/>
                <w:lang w:val="en-US" w:eastAsia="zh-CN"/>
              </w:rPr>
              <w:t>有利于</w:t>
            </w:r>
            <w:r>
              <w:rPr>
                <w:rFonts w:ascii="仿宋_GB2312" w:hAnsi="仿宋_GB2312" w:eastAsia="仿宋_GB2312"/>
                <w:b w:val="0"/>
                <w:sz w:val="24"/>
              </w:rPr>
              <w:t>明确数据权限、故障边界和可替换性：</w:t>
            </w:r>
            <w:r>
              <w:rPr>
                <w:rFonts w:hint="eastAsia" w:ascii="仿宋_GB2312" w:hAnsi="仿宋_GB2312" w:eastAsia="仿宋_GB2312"/>
                <w:b w:val="0"/>
                <w:sz w:val="24"/>
                <w:lang w:val="en-US" w:eastAsia="zh-CN"/>
              </w:rPr>
              <w:t>当</w:t>
            </w:r>
            <w:r>
              <w:rPr>
                <w:rFonts w:ascii="仿宋_GB2312" w:hAnsi="仿宋_GB2312" w:eastAsia="仿宋_GB2312"/>
                <w:b w:val="0"/>
                <w:sz w:val="24"/>
              </w:rPr>
              <w:t>模型执行出现异常时，阅读和已有数据仍然可用；未来更换模型或Agent实现时，不需要重写阅读器和业务接口</w:t>
            </w:r>
            <w:r>
              <w:rPr>
                <w:rFonts w:ascii="仿宋_GB2312" w:hAnsi="仿宋_GB2312" w:eastAsia="仿宋_GB2312"/>
                <w:b w:val="0"/>
                <w:sz w:val="24"/>
                <w:highlight w:val="none"/>
              </w:rPr>
              <w:t>。</w:t>
            </w:r>
            <w:r>
              <w:rPr>
                <w:rFonts w:hint="default" w:ascii="仿宋_GB2312" w:hAnsi="仿宋_GB2312" w:eastAsia="仿宋_GB2312"/>
                <w:b w:val="0"/>
                <w:sz w:val="24"/>
              </w:rPr>
              <w:t>从工程定位看，整套软件就是面向阅读任务的Agent harness：Server提供数据与权限，Agent服务提供可替换的执行核心，阅读器、任务面板和证据链共同构成受控的工具环境。</w:t>
            </w:r>
          </w:p>
          <w:p w14:paraId="64F4BA37">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46E71C7A">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五、可追溯的生成与人工复核</w:t>
            </w:r>
          </w:p>
          <w:p w14:paraId="051282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为保证辅助内容不是“无依据的答案”，项目在生成和展示两个环节加入约束：</w:t>
            </w:r>
          </w:p>
          <w:p w14:paraId="4412D66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结构化输出：</w:t>
            </w:r>
            <w:r>
              <w:rPr>
                <w:rFonts w:ascii="仿宋_GB2312" w:hAnsi="仿宋_GB2312" w:eastAsia="仿宋_GB2312"/>
                <w:b w:val="0"/>
                <w:sz w:val="24"/>
              </w:rPr>
              <w:t xml:space="preserve"> 任务要求模型按照预定义字段返回内容，并对章节、段落、指纹和引文进行标注；</w:t>
            </w:r>
          </w:p>
          <w:p w14:paraId="117B57E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原文锚定：</w:t>
            </w:r>
            <w:r>
              <w:rPr>
                <w:rFonts w:ascii="仿宋_GB2312" w:hAnsi="仿宋_GB2312" w:eastAsia="仿宋_GB2312"/>
                <w:b w:val="0"/>
                <w:sz w:val="24"/>
              </w:rPr>
              <w:t xml:space="preserve"> Server对引文和位置进行校验，前端可从辅助内容跳转到对应原文；</w:t>
            </w:r>
          </w:p>
          <w:p w14:paraId="5A700A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候选稿机制：</w:t>
            </w:r>
            <w:r>
              <w:rPr>
                <w:rFonts w:ascii="仿宋_GB2312" w:hAnsi="仿宋_GB2312" w:eastAsia="仿宋_GB2312"/>
                <w:b w:val="0"/>
                <w:sz w:val="24"/>
              </w:rPr>
              <w:t xml:space="preserve"> Agent生成结果先保存为候选稿，读者可以在任务面板查看、编辑、采纳或放弃；</w:t>
            </w:r>
          </w:p>
          <w:p w14:paraId="610F68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复核与修订：</w:t>
            </w:r>
            <w:r>
              <w:rPr>
                <w:rFonts w:ascii="仿宋_GB2312" w:hAnsi="仿宋_GB2312" w:eastAsia="仿宋_GB2312"/>
                <w:b w:val="0"/>
                <w:sz w:val="24"/>
              </w:rPr>
              <w:t xml:space="preserve"> 生成结果可以经过独立复核；复核不通过时保留问题说明，必要时重新生成；</w:t>
            </w:r>
          </w:p>
          <w:p w14:paraId="14D614D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冲突保护：</w:t>
            </w:r>
            <w:r>
              <w:rPr>
                <w:rFonts w:ascii="仿宋_GB2312" w:hAnsi="仿宋_GB2312" w:eastAsia="仿宋_GB2312"/>
                <w:b w:val="0"/>
                <w:sz w:val="24"/>
              </w:rPr>
              <w:t xml:space="preserve"> 当原文或已有笔记在任务运行期间被修改时，保存操作应提示冲突，避免覆盖读者内容。</w:t>
            </w:r>
          </w:p>
          <w:p w14:paraId="4B8FE6E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61D914A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六、原型系统与验证</w:t>
            </w:r>
          </w:p>
          <w:p w14:paraId="304C45C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原型以Web阅读器为载体，用户可以：</w:t>
            </w:r>
          </w:p>
          <w:p w14:paraId="5F2A89D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（1）从书库导入EPUB/TXT并继续阅读；</w:t>
            </w:r>
          </w:p>
          <w:p w14:paraId="5EEE218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（2）在目录、搜索、书签之间切换；</w:t>
            </w:r>
          </w:p>
          <w:p w14:paraId="3E87F92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（3）触发全书、章节、段落或概念层任务，查看实时进度；</w:t>
            </w:r>
          </w:p>
          <w:p w14:paraId="0F4FFF1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（4）查看段落旁注、概念解释和原文引用；</w:t>
            </w:r>
          </w:p>
          <w:p w14:paraId="6EB3A6A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（5）在对话中引用原文、章节或多段材料，进行追问；</w:t>
            </w:r>
          </w:p>
          <w:p w14:paraId="0E9151D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（6）编辑四层笔记，保存并导出；</w:t>
            </w:r>
          </w:p>
          <w:p w14:paraId="2B8A477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（7）在任务面板中取消、重试、审阅和采纳候选稿；</w:t>
            </w:r>
          </w:p>
          <w:p w14:paraId="3B5057A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（8）在设置页配置模型服务、密钥、超时和预算。</w:t>
            </w:r>
          </w:p>
          <w:p w14:paraId="215BFBD2">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324869B9">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七、产品需求文档（PRD）摘要</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（一）产品定位与目标用户</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产品定位为本地优先的哲学社会科学辅助阅读工作台，服务人文社科本科生、研究生、教师和研究者。产品保留读者的阅读与采用控制权，把AI输出组织为可核验、可编辑、可回溯的辅助材料。</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（二）核心使用场景</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1. 课程指定阅读：教师按章布置阅读，学生使用全书结构、章节论证和段落语义完成预习与课堂讨论；</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2. 论文与文献精读：研究生导入著作、论文，围绕研究问题提取论证、概念和证据；</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3. 经典著作研读：读书会或阅读推广活动使用四层材料和笔记开展共读；</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4. 教师备课与研究支持：教师准备章节地图、讨论问题和概念清单。</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（三）功能需求与优先级</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P0 书库与导入：EPUB/TXT导入、书目管理、阅读进度保存；</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P0 阅读与定位：目录、搜索、书签、章节/段落坐标和原文引用；</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P0 四层辅助：全书、章节、语义、概念任务与结构化输出；</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P0 任务与复核：任务队列、进度、取消、重试、候选稿、采纳和冲突保护；</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P0 笔记与对话：四层笔记、对话引用、多轮追问、导出；</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P0 自动验收：用例库、硬门槛、通过率统计；</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P1 设置与运行管理：模型、密钥、超时、预算和本地数据；</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P1 应用试点：课程/读书会模板、使用记录和反馈汇总。</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（四）非功能需求</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产品采用本地优先部署，书籍、笔记、对话和任务状态保存在本机；引用和位置可回溯；任务支持取消、失败重试和恢复；模型服务可替换；界面在常用笔记本上保持可操作；密钥和业务数据分离管理；验证语料遵守版权要求。</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（五）PRD验收与边界</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PRD以可用、可核验、可维护为验收原则；每个P0需求至少对应一条用例和自动检查。产品边界包括：读者保留阅读与采用控制权；AI输出作为可编辑的辅助材料；项目采用现有模型，不开展模型训练；验证语料来自公开版权或授权文本。</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典型用户故事：作为课程学生，我希望按章看到结构、论证和概念解释，以便带着问题进入课堂；作为研究生，我希望把引文和证据带回笔记，以便写文献综述；作为教师，我希望快速生成章节地图和讨论问题，以便组织研讨。</w:t>
            </w:r>
          </w:p>
          <w:p w14:paraId="324869B9">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八、商业与用户调研计划</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（一）调研目标</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调研回答三类问题：谁需要、在什么场景需要、愿意以什么方式使用；现有产品覆盖到什么程度；本项目以什么功能和应用方式进入真实阅读场景。</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（二）商业调研</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研究对象包括AI学术检索工具、长文本问答与摘要工具、通用阅读器、数字人文平台和Agent工作流框架。调研维度包括目标用户、核心功能、证据能力、市场规模与增长趋势、定价与收费、部署方式、数据权限、渠道和合作模式。方法采用桌面研究、竞品功能矩阵、教师/图书馆员/教育技术企业访谈和价格/采购访谈。产出市场与竞品备忘录、差异化定位、应用与推广路径。</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（三）用户调研</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调研对象分为本科生、研究生、教师、图书馆和教学支持人员。重点观察真实阅读流程、工具切换、证据核验、笔记和写作衔接。方法采用情境访谈、半结构化访谈、阅读日记、问卷、可用性测试和对照实验。计划样本：学生12—15人、教师5—8人、图书馆/教学支持3—5人；分两轮进行。</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（四）调研节奏</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第1—2个月：完成竞品矩阵和10—12场需求访谈，形成用户画像与任务清单；第3—4个月：发放问卷并完成阅读日记和情境观察，形成需求优先级；第5—6个月：用原型完成可用性测试，修订PRD；第7—9个月：在课程和读书会试点，收集应用反馈。</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（五）方法与产出</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桌面研究形成竞品矩阵；情境访谈和日记形成用户旅程与痛点；问卷形成需求分布；可用性测试形成交互问题清单；对照实验形成阅读效果证据；价格和采购访谈形成应用与推广方案。最终形成《商业调研纪要》《用户研究报告》《好内容用例库》和PRD修订记录。</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（六）决策规则</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只有同时具备明确用户痛点、可验证的使用场景和可承受运行成本的需求进入P0；证据不足的需求进入P1或暂缓。调研记录、访谈提纲、问卷、编码表和结论统一归档，保证可复查。</w:t>
            </w:r>
          </w:p>
          <w:p w14:paraId="324869B9">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九、应用评估与终点依据</w:t>
            </w:r>
          </w:p>
          <w:p w14:paraId="132BF005">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评估围绕“好内容”用例展开：先规定每层输出应回答的问题、证据要求和失败样例，再分别检查技术性能、内容质量和阅读效果。最终判定采用自动化用例通过制：结构化字段完整率100%、引用可回溯率≥95%、章节和段落定位准确率≥95%、层间矛盾率≤5%、各层覆盖率≥90%、重复运行核心结论一致性≥90%，并且用例通过率≥90%；全部满足即通过。用例集在评估前冻结。专家评审和读者实验用于诊断和修订用例，不参与最终判定。</w:t>
            </w:r>
          </w:p>
          <w:p w14:paraId="1EAF97DF">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验证语料选取3—5部哲学社会科学经典著作，每部选取2—3个核心章节；实验记录、评审意见和修订结果统一归档，形成可复核的评估报告。</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项目终点依据分为质量终点和成果终点。质量终点为自动化硬门槛全部满足、用例通过率达到90%；成果终点为可运行原型、PRD与用例库、评估报告、论文或软著/竞赛材料和结题材料。</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应用效果采用课程或读书会试点记录、读者任务完成情况和使用反馈作为辅助证据，用于解释自动指标和修订用例；最终判定由自动规则给出。</w:t>
            </w:r>
          </w:p>
          <w:p w14:paraId="1B9CDEB4">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50A163C2">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十、模型选择与输出稳定性</w:t>
            </w:r>
          </w:p>
          <w:p w14:paraId="2382180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本项目以Agent驱动为主，直接使用现有模型的工具调用、任务分解和结构化输出能力。项目通过选择通用模型、约束提示词和上下文、校验结构化字段、记录工具调用来保证输出稳定；模型服务只负责生成，阅读任务、证据链和复核规则由Agent harness和Server控制。</w:t>
            </w:r>
          </w:p>
          <w:p w14:paraId="55235291">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对同一文本重复运行，统计核心结论、概念关系和引用位置的一致性，目标核心结论一致性不低于90%，并把结果纳入系统质量记录。</w:t>
            </w:r>
            <w:r/>
          </w:p>
          <w:p w14:paraId="474D13CB">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575D1A24">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十一、研究重点、难点与思路</w:t>
            </w:r>
          </w:p>
          <w:p w14:paraId="4F66D43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1. 研究重点：</w:t>
            </w:r>
          </w:p>
          <w:p w14:paraId="273964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（1）四层任务之间的输入输出边界和上下文组织；</w:t>
            </w:r>
          </w:p>
          <w:p w14:paraId="1EB8966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（2）生成长文本时的结构一致性、引用准确性和概念一致性；</w:t>
            </w:r>
          </w:p>
          <w:p w14:paraId="3832F33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（3）Server与Agent之间的契约、权限、取消和恢复；</w:t>
            </w:r>
          </w:p>
          <w:p w14:paraId="258B7AF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（4）读者如何理解、修改和信任AI生成的辅助内容。</w:t>
            </w:r>
          </w:p>
          <w:p w14:paraId="19FF742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2. 研究难点：</w:t>
            </w:r>
          </w:p>
          <w:p w14:paraId="762C367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（1）如何定义“好的辅助内容”，并把这种判断拆成可执行用例和验收规则；</w:t>
            </w:r>
          </w:p>
          <w:p w14:paraId="03C997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（2）哲学社会科学文本的概念多义、隐喻表达和论证省略；</w:t>
            </w:r>
          </w:p>
          <w:p w14:paraId="2A709D0A">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（3）长文本跨章节上下文的取舍与压缩；</w:t>
            </w:r>
          </w:p>
          <w:p w14:paraId="6FAE2D8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（4）生成内容的稳定性、可核验性与幻觉抑制；</w:t>
            </w:r>
          </w:p>
          <w:p w14:paraId="08F6D4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（5）辅助内容对阅读过程的实际帮助如何测量；</w:t>
            </w:r>
          </w:p>
          <w:p w14:paraId="08F6D4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（6）在不替代读者判断的前提下设计合适的人机分工。</w:t>
            </w:r>
          </w:p>
          <w:p w14:paraId="5C795EC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3. 研究思路与方法：</w:t>
            </w:r>
          </w:p>
          <w:p w14:paraId="673DC04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项目采用“需求研究—原型迭代—专家评审—用户实验—修正”的循环：</w:t>
            </w:r>
          </w:p>
          <w:p w14:paraId="25B220C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1</w:t>
            </w:r>
            <w:r>
              <w:rPr>
                <w:rFonts w:hint="eastAsia" w:ascii="仿宋_GB2312" w:hAnsi="仿宋_GB2312" w:eastAsia="仿宋_GB2312"/>
                <w:b w:val="0"/>
                <w:sz w:val="24"/>
                <w:lang w:eastAsia="zh-CN"/>
              </w:rPr>
              <w:t>）</w:t>
            </w:r>
            <w:r>
              <w:rPr>
                <w:rFonts w:ascii="仿宋_GB2312" w:hAnsi="仿宋_GB2312" w:eastAsia="仿宋_GB2312"/>
                <w:b w:val="0"/>
                <w:sz w:val="24"/>
              </w:rPr>
              <w:t>通过文献调研、教师访谈和读者访谈确定四层任务的具体问题；</w:t>
            </w:r>
          </w:p>
          <w:p w14:paraId="2D7F394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2</w:t>
            </w:r>
            <w:r>
              <w:rPr>
                <w:rFonts w:hint="eastAsia" w:ascii="仿宋_GB2312" w:hAnsi="仿宋_GB2312" w:eastAsia="仿宋_GB2312"/>
                <w:b w:val="0"/>
                <w:sz w:val="24"/>
                <w:lang w:eastAsia="zh-CN"/>
              </w:rPr>
              <w:t>）</w:t>
            </w:r>
            <w:r>
              <w:rPr>
                <w:rFonts w:ascii="仿宋_GB2312" w:hAnsi="仿宋_GB2312" w:eastAsia="仿宋_GB2312"/>
                <w:b w:val="0"/>
                <w:sz w:val="24"/>
              </w:rPr>
              <w:t>以真实</w:t>
            </w:r>
            <w:r>
              <w:rPr>
                <w:rFonts w:hint="eastAsia" w:ascii="仿宋_GB2312" w:hAnsi="仿宋_GB2312" w:eastAsia="仿宋_GB2312"/>
                <w:b w:val="0"/>
                <w:sz w:val="24"/>
                <w:lang w:eastAsia="zh"/>
                <w:woUserID w:val="1"/>
              </w:rPr>
              <w:t>著作、论文</w:t>
            </w:r>
            <w:r>
              <w:rPr>
                <w:rFonts w:ascii="仿宋_GB2312" w:hAnsi="仿宋_GB2312" w:eastAsia="仿宋_GB2312"/>
                <w:b w:val="0"/>
                <w:sz w:val="24"/>
              </w:rPr>
              <w:t>为语料，按层实现任务和界面，完成小范围可用性测试；</w:t>
            </w:r>
          </w:p>
          <w:p w14:paraId="25D21B6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3</w:t>
            </w:r>
            <w:r>
              <w:rPr>
                <w:rFonts w:hint="eastAsia" w:ascii="仿宋_GB2312" w:hAnsi="仿宋_GB2312" w:eastAsia="仿宋_GB2312"/>
                <w:b w:val="0"/>
                <w:sz w:val="24"/>
                <w:lang w:eastAsia="zh-CN"/>
              </w:rPr>
              <w:t>）</w:t>
            </w:r>
            <w:r>
              <w:rPr>
                <w:rFonts w:ascii="仿宋_GB2312" w:hAnsi="仿宋_GB2312" w:eastAsia="仿宋_GB2312"/>
                <w:b w:val="0"/>
                <w:sz w:val="24"/>
              </w:rPr>
              <w:t>邀请人文社科教师或研究生对生成内容进行准确性、有用性和证据充分性评审；</w:t>
            </w:r>
          </w:p>
          <w:p w14:paraId="5898766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4</w:t>
            </w:r>
            <w:r>
              <w:rPr>
                <w:rFonts w:hint="eastAsia" w:ascii="仿宋_GB2312" w:hAnsi="仿宋_GB2312" w:eastAsia="仿宋_GB2312"/>
                <w:b w:val="0"/>
                <w:sz w:val="24"/>
                <w:lang w:eastAsia="zh-CN"/>
              </w:rPr>
              <w:t>）</w:t>
            </w:r>
            <w:r>
              <w:rPr>
                <w:rFonts w:ascii="仿宋_GB2312" w:hAnsi="仿宋_GB2312" w:eastAsia="仿宋_GB2312"/>
                <w:b w:val="0"/>
                <w:sz w:val="24"/>
              </w:rPr>
              <w:t>开展小规模读者实验，比较使用本工具与通用问答/摘要工具时的阅读表现和主观体验；</w:t>
            </w:r>
          </w:p>
          <w:p w14:paraId="7C76BFF5">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5</w:t>
            </w:r>
            <w:r>
              <w:rPr>
                <w:rFonts w:hint="eastAsia" w:ascii="仿宋_GB2312" w:hAnsi="仿宋_GB2312" w:eastAsia="仿宋_GB2312"/>
                <w:b w:val="0"/>
                <w:sz w:val="24"/>
                <w:lang w:eastAsia="zh-CN"/>
              </w:rPr>
              <w:t>）</w:t>
            </w:r>
            <w:r>
              <w:rPr>
                <w:rFonts w:ascii="仿宋_GB2312" w:hAnsi="仿宋_GB2312" w:eastAsia="仿宋_GB2312"/>
                <w:b w:val="0"/>
                <w:sz w:val="24"/>
              </w:rPr>
              <w:t>根据反馈修正任务说明、输出结构、界面和评估指标，形成可复现的实验记录。</w:t>
            </w:r>
          </w:p>
          <w:p w14:paraId="324869B9">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十二、应用方案与预期价值</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（一）应用成果</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形成“智驱思阅”Web辅助阅读工具、四层阅读工作空间、面向阅读任务的Agent harness、PRD与好内容用例库、自动评估报告、论文和软件著作权。</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（二）应用方式</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1. 课程阅读：教师按章布置，学生在课前或课后使用四层材料并提交笔记；</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2. 论文与文献精读：研究生导入论文或著作，围绕研究问题提取论证与概念，形成可回溯笔记；</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3. 图书馆与读书会：作为共读工具，提供章节地图、概念清单和讨论问题；</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4. 教师备课与研究支持：教师生成章节结构和讨论材料，减少重复整理。</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（三）预期价值</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学生可以降低长文本整理成本，提升结构理解、论证把握和概念辨析；教师可以减少备课资料整理时间，形成可复用阅读材料；学校与图书馆获得本地优先、低成本的数字阅读与AI素养场景；产品与行业获得“Agent执行、证据约束、自动验收”的阅读工具参考。</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（四）推广条件</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产品采用本地优先部署，模型服务可替换，用例库可复用；可以按课程、读书会和论文写作模板推广，后续扩展到教学资源和数字人文研究。</w:t>
            </w:r>
          </w:p>
        </w:tc>
      </w:tr>
      <w:tr w14:paraId="7F0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64E7E8C">
            <w:pPr>
              <w:keepLines/>
              <w:rPr>
                <w:b/>
                <w:sz w:val="24"/>
                <w:szCs w:val="22"/>
              </w:rPr>
            </w:pPr>
            <w:r>
              <w:rPr>
                <w:rFonts w:hint="eastAsia"/>
                <w:b/>
                <w:sz w:val="24"/>
                <w:szCs w:val="22"/>
              </w:rPr>
              <w:t>项目创新点</w:t>
            </w:r>
          </w:p>
        </w:tc>
        <w:tc>
          <w:tcPr>
            <w:tcW w:w="9458" w:type="dxa"/>
          </w:tcPr>
          <w:p w14:paraId="0B8C2618">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一、</w:t>
            </w:r>
            <w:r>
              <w:rPr>
                <w:rFonts w:hint="eastAsia" w:ascii="仿宋_GB2312" w:hAnsi="仿宋_GB2312" w:eastAsia="仿宋_GB2312"/>
                <w:b/>
                <w:sz w:val="24"/>
                <w:lang w:val="en-US" w:eastAsia="zh-CN"/>
              </w:rPr>
              <w:t>基于</w:t>
            </w:r>
            <w:r>
              <w:rPr>
                <w:rFonts w:ascii="仿宋_GB2312" w:hAnsi="仿宋_GB2312" w:eastAsia="仿宋_GB2312"/>
                <w:b/>
                <w:sz w:val="24"/>
              </w:rPr>
              <w:t>阅读尺度组织Agent任务</w:t>
            </w:r>
          </w:p>
          <w:p w14:paraId="70F29A6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highlight w:val="green"/>
              </w:rPr>
              <w:t>现有工具多以“检索、摘要、问答”等功能组织AI能力，本项目以全书、章节、段落、概念四个阅读尺度组织任务。每个尺度对应不同的阅读问题、材料范围和输出结构，使Agent的服务对象从“泛化的问答”转向“具体的阅读工作”。四个尺度分别对应全书概览、章节论证、语义解析和概念辨析四类Agent任务，使分层协作具有明确任务边界。项目进一步把“好的辅助内容”拆成可执行用例和输出字段，使“好内容”的判断进入任务说明、自动校验和回归测试。</w:t>
            </w:r>
          </w:p>
          <w:p w14:paraId="730E3ED9">
            <w:pPr>
              <w:spacing w:line="300" w:lineRule="auto"/>
              <w:ind w:left="0" w:leftChars="0" w:firstLine="480" w:firstLineChars="200"/>
              <w:rPr>
                <w:rFonts w:hint="eastAsia" w:ascii="仿宋_GB2312" w:hAnsi="仿宋_GB2312" w:eastAsia="仿宋_GB2312" w:cs="仿宋_GB2312"/>
                <w:sz w:val="24"/>
              </w:rPr>
            </w:pPr>
          </w:p>
          <w:p w14:paraId="1EAE667E">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二、自上而下与自下而上双向约束的分层生成机制</w:t>
            </w:r>
          </w:p>
          <w:p w14:paraId="6BE142CB">
            <w:pPr>
              <w:spacing w:line="300" w:lineRule="auto"/>
              <w:ind w:left="0" w:leftChars="0" w:firstLine="480" w:firstLineChars="200"/>
              <w:rPr>
                <w:rFonts w:hint="eastAsia" w:ascii="仿宋_GB2312" w:hAnsi="仿宋_GB2312" w:eastAsia="仿宋_GB2312" w:cs="仿宋_GB2312"/>
                <w:sz w:val="24"/>
                <w:woUserID w:val="2"/>
              </w:rPr>
            </w:pPr>
            <w:r>
              <w:rPr>
                <w:rFonts w:ascii="仿宋_GB2312" w:hAnsi="仿宋_GB2312" w:eastAsia="仿宋_GB2312"/>
                <w:b w:val="0"/>
                <w:sz w:val="24"/>
                <w:highlight w:val="green"/>
              </w:rPr>
              <w:t>现有分层生成方法多为单向工作流：各层独立生成，上一层的结果只作为下一层的输入，缺少反向纠错。本项目把双向约束落实为可执行的输入输出：全书层输出问题框架、结构地图和章节清单；章节层据此检查章节位置、论证步骤和转折；语义层接收章节论证上下文并回填句段证据；概念层接收术语、定义和原文出处。反向校验时，概念层的定义冲突、语义层的证据缺口、章节层的论证覆盖不足分别回传上一层，触发重写或标记待核；每次回传保留问题类型、位置和处理结果。四层因此形成可追踪的修订闭环。</w:t>
            </w:r>
          </w:p>
          <w:p w14:paraId="5370B38E">
            <w:pPr>
              <w:spacing w:line="300" w:lineRule="auto"/>
              <w:ind w:left="0" w:leftChars="0" w:firstLine="480" w:firstLineChars="200"/>
              <w:rPr>
                <w:rFonts w:hint="eastAsia" w:ascii="仿宋_GB2312" w:hAnsi="仿宋_GB2312" w:eastAsia="仿宋_GB2312" w:cs="仿宋_GB2312"/>
                <w:sz w:val="24"/>
              </w:rPr>
            </w:pPr>
          </w:p>
          <w:p w14:paraId="41B25EAE">
            <w:pPr>
              <w:spacing w:line="300" w:lineRule="auto"/>
              <w:jc w:val="left"/>
              <w:rPr>
                <w:rFonts w:hint="eastAsia" w:ascii="仿宋_GB2312" w:hAnsi="仿宋_GB2312" w:eastAsia="仿宋_GB2312" w:cs="仿宋_GB2312"/>
                <w:sz w:val="24"/>
                <w:highlight w:val="yellow"/>
              </w:rPr>
            </w:pPr>
            <w:r>
              <w:rPr>
                <w:rFonts w:ascii="仿宋_GB2312" w:hAnsi="仿宋_GB2312" w:eastAsia="仿宋_GB2312"/>
                <w:b/>
                <w:sz w:val="24"/>
              </w:rPr>
              <w:t>三、</w:t>
            </w:r>
            <w:r>
              <w:rPr>
                <w:rFonts w:ascii="仿宋_GB2312" w:hAnsi="仿宋_GB2312" w:eastAsia="仿宋_GB2312"/>
                <w:b/>
                <w:sz w:val="24"/>
                <w:highlight w:val="green"/>
              </w:rPr>
              <w:t>以原文证据约束生成，以自动化验收完成闭环</w:t>
            </w:r>
          </w:p>
          <w:p w14:paraId="2F10C3E7">
            <w:pPr>
              <w:keepNext w:val="0"/>
              <w:keepLines w:val="0"/>
              <w:widowControl w:val="0"/>
              <w:suppressLineNumbers w:val="0"/>
              <w:spacing w:before="0" w:beforeAutospacing="0" w:after="0" w:afterAutospacing="0" w:line="252" w:lineRule="auto"/>
              <w:ind w:left="0" w:leftChars="0" w:right="0" w:firstLine="480" w:firstLineChars="200"/>
              <w:jc w:val="both"/>
              <w:rPr>
                <w:rFonts w:hint="eastAsia" w:ascii="仿宋_GB2312" w:hAnsi="仿宋_GB2312" w:eastAsia="仿宋_GB2312" w:cs="仿宋_GB2312"/>
                <w:sz w:val="24"/>
              </w:rPr>
            </w:pPr>
            <w:r>
              <w:rPr>
                <w:rFonts w:ascii="仿宋_GB2312" w:hAnsi="仿宋_GB2312" w:eastAsia="仿宋_GB2312"/>
                <w:b w:val="0"/>
                <w:sz w:val="24"/>
                <w:highlight w:val="green"/>
              </w:rPr>
              <w:t>项目要求生成内容尽量绑定章节、段落、指纹和引文，并通过候选稿、复核、采纳和冲突保护进入自动用例验收；最终判定采用硬门槛和用例通过率，读者编辑与采纳作为使用环节。这使AI输出从“可信口吻的答案”变成“可检查的阅读材料”。</w:t>
            </w:r>
          </w:p>
          <w:p w14:paraId="6CB9DCD9">
            <w:pPr>
              <w:spacing w:line="300" w:lineRule="auto"/>
              <w:ind w:left="0" w:leftChars="0" w:firstLine="480" w:firstLineChars="200"/>
              <w:rPr>
                <w:rFonts w:hint="eastAsia" w:ascii="仿宋_GB2312" w:hAnsi="仿宋_GB2312" w:eastAsia="仿宋_GB2312" w:cs="仿宋_GB2312"/>
                <w:sz w:val="24"/>
              </w:rPr>
            </w:pPr>
          </w:p>
          <w:p w14:paraId="58FA76A2">
            <w:pPr>
              <w:spacing w:line="300" w:lineRule="auto"/>
              <w:jc w:val="left"/>
              <w:rPr>
                <w:rFonts w:hint="eastAsia" w:ascii="仿宋_GB2312" w:hAnsi="仿宋_GB2312" w:eastAsia="仿宋_GB2312" w:cs="仿宋_GB2312"/>
                <w:sz w:val="24"/>
              </w:rPr>
            </w:pPr>
            <w:r>
              <w:rPr>
                <w:rFonts w:ascii="仿宋_GB2312" w:hAnsi="仿宋_GB2312" w:eastAsia="仿宋_GB2312"/>
                <w:b/>
                <w:sz w:val="24"/>
              </w:rPr>
              <w:t>四、Server与Agent分离</w:t>
            </w:r>
          </w:p>
          <w:p w14:paraId="7E77816C">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将业务数据保留在Server，将模型执行放入独立Agent服务，通过版本化契约、工具回调、认证和预算控制连接两者。Agent不直接接触书籍数据库，既降低了数据被越权读写的风险，也使模型服务可以独立替换和测试。</w:t>
            </w:r>
          </w:p>
          <w:p w14:paraId="67DDC5F1">
            <w:pPr>
              <w:spacing w:line="300" w:lineRule="auto"/>
              <w:ind w:left="0" w:leftChars="0" w:firstLine="480" w:firstLineChars="200"/>
              <w:rPr>
                <w:rFonts w:hint="eastAsia" w:ascii="仿宋_GB2312" w:hAnsi="仿宋_GB2312" w:eastAsia="仿宋_GB2312" w:cs="仿宋_GB2312"/>
                <w:sz w:val="24"/>
              </w:rPr>
            </w:pPr>
          </w:p>
          <w:p w14:paraId="6ED0EDFA">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五、阅读、笔记、对话和任务共享同一套文本坐标</w:t>
            </w:r>
          </w:p>
          <w:p w14:paraId="294720E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目录、搜索、段落旁注、对话引用、笔记和Agent任务共用章/段坐标和文本指纹，读者可以从任意一条辅助内容回到原文，也可以把原文选段带入对话或笔记。这种一体化工作流比“阅读器+外挂聊天窗口”的组合更接近真实阅读过程。</w:t>
            </w:r>
          </w:p>
          <w:p w14:paraId="4EEB30B8">
            <w:pPr>
              <w:spacing w:line="300" w:lineRule="auto"/>
              <w:ind w:left="0" w:leftChars="0" w:firstLine="480" w:firstLineChars="200"/>
              <w:rPr>
                <w:rFonts w:hint="eastAsia" w:ascii="仿宋_GB2312" w:hAnsi="仿宋_GB2312" w:eastAsia="仿宋_GB2312" w:cs="仿宋_GB2312"/>
                <w:sz w:val="24"/>
              </w:rPr>
            </w:pPr>
          </w:p>
        </w:tc>
      </w:tr>
    </w:tbl>
    <w:p w14:paraId="1ABD09AD">
      <w:pPr>
        <w:keepNext/>
        <w:keepLines/>
        <w:spacing w:before="312" w:beforeLines="100" w:after="156" w:afterLines="50"/>
        <w:ind w:right="-512" w:rightChars="-244"/>
        <w:rPr>
          <w:b/>
          <w:sz w:val="32"/>
          <w:szCs w:val="32"/>
        </w:rPr>
      </w:pPr>
      <w:r>
        <w:rPr>
          <w:rFonts w:hint="eastAsia"/>
          <w:b/>
          <w:sz w:val="32"/>
          <w:szCs w:val="32"/>
        </w:rPr>
        <w:t>四、项目进度安排</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40C9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128F91A">
            <w:pPr>
              <w:keepLines/>
              <w:rPr>
                <w:b/>
                <w:sz w:val="24"/>
              </w:rPr>
            </w:pPr>
            <w:r>
              <w:rPr>
                <w:rFonts w:hint="eastAsia"/>
                <w:b/>
                <w:sz w:val="24"/>
                <w:szCs w:val="22"/>
              </w:rPr>
              <w:t>项目进度安排</w:t>
            </w:r>
          </w:p>
        </w:tc>
        <w:tc>
          <w:tcPr>
            <w:tcW w:w="9458" w:type="dxa"/>
          </w:tcPr>
          <w:p w14:paraId="7BE950AE">
            <w:pPr>
              <w:spacing w:line="240" w:lineRule="auto"/>
              <w:rPr>
                <w:rFonts w:hint="eastAsia" w:ascii="仿宋_GB2312" w:hAnsi="宋体" w:eastAsia="仿宋_GB2312"/>
                <w:sz w:val="24"/>
              </w:rPr>
            </w:pPr>
            <w:r>
              <w:rPr>
                <w:rFonts w:hint="eastAsia" w:ascii="仿宋_GB2312" w:hAnsi="宋体" w:eastAsia="仿宋_GB2312"/>
                <w:sz w:val="24"/>
              </w:rPr>
              <w:t>（查阅资料、自主设计项目研究方案、实验研究、数据统计、处理与分析、研制开发、中期检查、填写结题表、撰写研究论文和总结报告、参加结题答辩和成果推广等）</w:t>
            </w:r>
          </w:p>
          <w:p w14:paraId="1CF72A1B">
            <w:pPr>
              <w:spacing w:line="24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highlight w:val="green"/>
              </w:rPr>
              <w:t>项目立项前已完成阅读器原型的主体开发；下列安排只列出尚未完成的工作，已完成功能不重复计入实施期。</w:t>
            </w:r>
          </w:p>
          <w:p w14:paraId="3CE61FDF">
            <w:pPr>
              <w:spacing w:line="240"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green"/>
              </w:rPr>
              <w:t>已完成基础：EPUB/TXT导入、书库与阅读界面、目录/搜索/书签、四层数据与任务入口、候选稿/复核/采纳、笔记与对话、Server/Agent分离和设置页。</w:t>
            </w:r>
          </w:p>
          <w:p w14:paraId="1BE3C400">
            <w:pPr>
              <w:spacing w:line="240"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green"/>
              </w:rPr>
              <w:t>第1—2个月：原型冻结与用例设计。整理现有功能边界，建立“好内容”用例库（输入文本、期望输出、证据要求、失败样例）和验收规则，补齐跨书、多章节、异常恢复等边界场景。</w:t>
            </w:r>
          </w:p>
          <w:p w14:paraId="6C9725A0">
            <w:pPr>
              <w:spacing w:line="240"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green"/>
              </w:rPr>
              <w:t>第3—4个月：真实语料验证。选取3—5部著作/论文、每部2—3章跑通四层任务，统计覆盖率、层间矛盾率、引用可回溯率和字段完整率，形成问题清单。</w:t>
            </w:r>
          </w:p>
          <w:p w14:paraId="686BCDAE">
            <w:pPr>
              <w:spacing w:line="240"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green"/>
              </w:rPr>
              <w:t>第5—6个月：质量修正与稳定性。按失败用例修正任务说明、上下文组织、证据校验和重试机制，完成小范围可用性测试与重复运行一致性检查。</w:t>
            </w:r>
          </w:p>
          <w:p w14:paraId="3C616257">
            <w:pPr>
              <w:spacing w:line="240"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green"/>
              </w:rPr>
              <w:t>第7—8个月：专家评审与读者实验。邀请教师/研究生评审内容质量，开展15—20名读者对照实验；结果用于解释自动指标、发现用例缺口。</w:t>
            </w:r>
          </w:p>
          <w:p w14:paraId="3C616257">
            <w:pPr>
              <w:spacing w:line="240"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green"/>
              </w:rPr>
              <w:t>第7—9个月：应用试点。选择1门课程和1个读书会或阅读推广场景，完成教师培训、学生使用和反馈回收，形成应用案例和问题清单。</w:t>
            </w:r>
          </w:p>
          <w:p w14:paraId="1840345C">
            <w:pPr>
              <w:spacing w:line="240"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green"/>
              </w:rPr>
              <w:t>第9—10个月：论文、软件著作权与竞赛材料。整理实验数据，撰写论文和竞赛材料，完成软著申请材料。</w:t>
            </w:r>
          </w:p>
          <w:p w14:paraId="28EFAEF4">
            <w:pPr>
              <w:spacing w:line="240"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green"/>
              </w:rPr>
              <w:t>第11—12个月：成果整理与结题。完善文档、演示视频和使用手册，完成结题报告、答辩和成果推广。</w:t>
            </w:r>
          </w:p>
          <w:p w14:paraId="28EFAEF4">
            <w:pPr>
              <w:spacing w:line="240" w:lineRule="auto"/>
              <w:ind w:firstLineChars="200" w:firstLine="0"/>
              <w:jc w:val="center"/>
              <w:rPr>
                <w:rFonts w:hint="eastAsia" w:ascii="仿宋_GB2312" w:hAnsi="仿宋_GB2312" w:eastAsia="仿宋_GB2312" w:cs="仿宋_GB2312"/>
                <w:sz w:val="24"/>
                <w:highlight w:val="yellow"/>
              </w:rPr>
            </w:pPr>
            <w:r>
              <w:drawing>
                <wp:inline xmlns:a="http://schemas.openxmlformats.org/drawingml/2006/main" xmlns:pic="http://schemas.openxmlformats.org/drawingml/2006/picture">
                  <wp:extent cx="5623560" cy="2537878"/>
                  <wp:docPr id="7" name="Picture 7"/>
                  <wp:cNvGraphicFramePr>
                    <a:graphicFrameLocks noChangeAspect="1"/>
                  </wp:cNvGraphicFramePr>
                  <a:graphic>
                    <a:graphicData uri="http://schemas.openxmlformats.org/drawingml/2006/picture">
                      <pic:pic>
                        <pic:nvPicPr>
                          <pic:cNvPr id="0" name="项目进度甘特图.png"/>
                          <pic:cNvPicPr/>
                        </pic:nvPicPr>
                        <pic:blipFill>
                          <a:blip r:embed="rId4"/>
                          <a:stretch>
                            <a:fillRect/>
                          </a:stretch>
                        </pic:blipFill>
                        <pic:spPr>
                          <a:xfrm>
                            <a:off x="0" y="0"/>
                            <a:ext cx="5623560" cy="2537878"/>
                          </a:xfrm>
                          <a:prstGeom prst="rect"/>
                        </pic:spPr>
                      </pic:pic>
                    </a:graphicData>
                  </a:graphic>
                </wp:inline>
              </w:drawing>
            </w:r>
          </w:p>
          <w:p w14:paraId="28EFAEF4">
            <w:pPr>
              <w:spacing w:line="240" w:lineRule="auto"/>
              <w:ind w:firstLine="480" w:firstLineChars="200"/>
              <w:jc w:val="center"/>
              <w:rPr>
                <w:rFonts w:hint="eastAsia" w:ascii="仿宋_GB2312" w:hAnsi="仿宋_GB2312" w:eastAsia="仿宋_GB2312" w:cs="仿宋_GB2312"/>
                <w:sz w:val="24"/>
                <w:highlight w:val="yellow"/>
              </w:rPr>
            </w:pPr>
            <w:r>
              <w:rPr>
                <w:rFonts w:ascii="仿宋_GB2312" w:hAnsi="仿宋_GB2312" w:eastAsia="仿宋_GB2312"/>
                <w:b w:val="0"/>
                <w:sz w:val="24"/>
                <w:highlight w:val="green"/>
              </w:rPr>
              <w:t>图3  项目进度甘特图</w:t>
            </w:r>
          </w:p>
          <w:p w14:paraId="28EFAEF4">
            <w:pPr>
              <w:spacing w:line="240" w:lineRule="auto"/>
              <w:ind w:firstLineChars="200" w:firstLine="0"/>
              <w:rPr>
                <w:rFonts w:hint="eastAsia" w:ascii="仿宋_GB2312" w:hAnsi="仿宋_GB2312" w:eastAsia="仿宋_GB2312" w:cs="仿宋_GB2312"/>
                <w:sz w:val="24"/>
                <w:highlight w:val="yellow"/>
              </w:rPr>
            </w:pPr>
            <w:r>
              <w:rPr>
                <w:rFonts w:ascii="仿宋_GB2312" w:hAnsi="仿宋_GB2312" w:eastAsia="仿宋_GB2312"/>
                <w:b w:val="0"/>
                <w:sz w:val="24"/>
                <w:highlight w:val="green"/>
              </w:rPr>
              <w:t>甘特图由Excel生成，源文件随项目材料保存；应用试点与专家/读者实验存在月份交叉。</w:t>
            </w:r>
          </w:p>
        </w:tc>
      </w:tr>
    </w:tbl>
    <w:p w14:paraId="4E6CAE65">
      <w:pPr>
        <w:keepNext/>
        <w:keepLines/>
        <w:spacing w:before="312" w:beforeLines="100" w:after="156" w:afterLines="50"/>
        <w:ind w:right="-512" w:rightChars="-244"/>
        <w:rPr>
          <w:b/>
          <w:sz w:val="32"/>
          <w:szCs w:val="32"/>
        </w:rPr>
      </w:pPr>
      <w:r>
        <w:rPr>
          <w:rFonts w:hint="eastAsia"/>
          <w:b/>
          <w:sz w:val="32"/>
          <w:szCs w:val="32"/>
        </w:rPr>
        <w:t>五、项目实施条件</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77BD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3A6B4257">
            <w:pPr>
              <w:keepNext/>
              <w:keepLines/>
              <w:rPr>
                <w:b/>
                <w:sz w:val="24"/>
                <w:szCs w:val="22"/>
              </w:rPr>
            </w:pPr>
            <w:r>
              <w:rPr>
                <w:rFonts w:hint="eastAsia"/>
                <w:b/>
                <w:sz w:val="24"/>
                <w:szCs w:val="22"/>
              </w:rPr>
              <w:t>项目实施的条件</w:t>
            </w:r>
          </w:p>
          <w:p w14:paraId="3FDCE1CA">
            <w:pPr>
              <w:keepLines/>
              <w:rPr>
                <w:b/>
                <w:sz w:val="24"/>
              </w:rPr>
            </w:pPr>
            <w:r>
              <w:rPr>
                <w:rFonts w:hint="eastAsia"/>
                <w:b/>
                <w:sz w:val="24"/>
                <w:szCs w:val="22"/>
              </w:rPr>
              <w:t>和资源</w:t>
            </w:r>
          </w:p>
        </w:tc>
        <w:tc>
          <w:tcPr>
            <w:tcW w:w="9459" w:type="dxa"/>
          </w:tcPr>
          <w:p w14:paraId="17CEE896">
            <w:pPr>
              <w:spacing w:line="240" w:lineRule="auto"/>
              <w:rPr>
                <w:rFonts w:hint="eastAsia" w:ascii="仿宋_GB2312" w:hAnsi="宋体" w:eastAsia="仿宋_GB2312"/>
                <w:sz w:val="24"/>
              </w:rPr>
            </w:pPr>
            <w:r>
              <w:rPr>
                <w:rFonts w:hint="eastAsia" w:ascii="仿宋_GB2312" w:hAnsi="宋体" w:eastAsia="仿宋_GB2312"/>
                <w:sz w:val="24"/>
              </w:rPr>
              <w:t>（依托的科研或教学实验基地，实验仪器设备的配置，图书资料，实验或实践场地等项目实施的条件）</w:t>
            </w:r>
          </w:p>
          <w:p w14:paraId="3811CFD9">
            <w:pPr>
              <w:spacing w:line="24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（一）数字资源条件</w:t>
            </w:r>
          </w:p>
          <w:p w14:paraId="46BAC62D">
            <w:pPr>
              <w:spacing w:line="240" w:lineRule="auto"/>
              <w:ind w:firstLine="480" w:firstLineChars="200"/>
              <w:rPr>
                <w:rFonts w:hint="eastAsia" w:ascii="仿宋_GB2312" w:hAnsi="仿宋_GB2312" w:eastAsia="仿宋_GB2312" w:cs="仿宋_GB2312"/>
                <w:sz w:val="24"/>
                <w:lang w:eastAsia="zh"/>
                <w:woUserID w:val="1"/>
              </w:rPr>
            </w:pPr>
            <w:r>
              <w:rPr>
                <w:rFonts w:ascii="仿宋_GB2312" w:hAnsi="仿宋_GB2312" w:eastAsia="仿宋_GB2312"/>
                <w:b w:val="0"/>
                <w:sz w:val="24"/>
              </w:rPr>
              <w:t>项目可使用华东理工大学图书馆的中外文学术期刊和哲学社会科学数据库；使用国家哲学社会科学文献中心等公开资源获取经典著作和研究成果；使用Project Gutenberg等公共版权文本作为补充语料。验证语料以哲学、社会学、政治学等领域的经典著作为主，兼顾中文文本与译本。</w:t>
            </w:r>
          </w:p>
          <w:p w14:paraId="3194BA0A">
            <w:pPr>
              <w:spacing w:line="24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（二）算力与模型服务</w:t>
            </w:r>
          </w:p>
          <w:p w14:paraId="2351ECEC">
            <w:pPr>
              <w:spacing w:line="24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highlight w:val="green"/>
              </w:rPr>
              <w:t>项目通过兼容OpenAI接口的模型服务完成生成，模型、服务地址和密钥在本地配置中管理；Server与Agent服务通过HTTP/SSE通信。现有开发机即可满足原型调试、离线测试和小规模实验的需要，不需要额外GPU集群。</w:t>
            </w:r>
          </w:p>
          <w:p w14:paraId="51769F58">
            <w:pPr>
              <w:spacing w:line="24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（三）软件与技术条件</w:t>
            </w:r>
          </w:p>
          <w:p w14:paraId="006B3DF9">
            <w:pPr>
              <w:spacing w:line="24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原型采用Python、FastAPI、SQLite、OpenAI Agents SDK和静态Web前端；书籍数据按书保存在本地数据库中，Agent执行状态单独存放；接口使用版本化HTTP API和SSE事件。项目使用Git进行版本管理，已建立离线测试、接口测试和浏览器验收脚本。团队具备继续开发、调试和部署的条件。</w:t>
            </w:r>
          </w:p>
        </w:tc>
      </w:tr>
    </w:tbl>
    <w:p w14:paraId="4CC9FE10">
      <w:pPr>
        <w:spacing w:before="312" w:beforeLines="100" w:after="156" w:afterLines="50"/>
        <w:rPr>
          <w:rFonts w:hint="eastAsia"/>
          <w:b/>
          <w:sz w:val="32"/>
          <w:szCs w:val="32"/>
        </w:rPr>
      </w:pPr>
    </w:p>
    <w:p w14:paraId="233ED157">
      <w:pPr>
        <w:keepNext/>
        <w:keepLines/>
        <w:spacing w:before="312" w:beforeLines="100" w:after="156" w:afterLines="50"/>
        <w:rPr>
          <w:b/>
          <w:sz w:val="32"/>
          <w:szCs w:val="32"/>
        </w:rPr>
      </w:pPr>
      <w:r>
        <w:rPr>
          <w:rFonts w:hint="eastAsia"/>
          <w:b/>
          <w:sz w:val="32"/>
          <w:szCs w:val="32"/>
        </w:rPr>
        <w:t>六、项目预期效果及成果形式</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0FBF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3BF1B34C">
            <w:pPr>
              <w:keepNext/>
              <w:keepLines/>
              <w:rPr>
                <w:b/>
                <w:sz w:val="24"/>
                <w:szCs w:val="22"/>
              </w:rPr>
            </w:pPr>
            <w:r>
              <w:rPr>
                <w:rFonts w:hint="eastAsia"/>
                <w:b/>
                <w:sz w:val="24"/>
                <w:szCs w:val="22"/>
              </w:rPr>
              <w:t>项目</w:t>
            </w:r>
          </w:p>
          <w:p w14:paraId="42784965">
            <w:pPr>
              <w:keepLines/>
              <w:rPr>
                <w:b/>
                <w:sz w:val="24"/>
              </w:rPr>
            </w:pPr>
            <w:r>
              <w:rPr>
                <w:rFonts w:hint="eastAsia"/>
                <w:b/>
                <w:sz w:val="24"/>
                <w:szCs w:val="22"/>
              </w:rPr>
              <w:t>预期成果及其形式</w:t>
            </w:r>
          </w:p>
        </w:tc>
        <w:tc>
          <w:tcPr>
            <w:tcW w:w="9458" w:type="dxa"/>
            <w:tcBorders>
              <w:bottom w:val="single" w:color="auto" w:sz="4" w:space="0"/>
            </w:tcBorders>
          </w:tcPr>
          <w:p w14:paraId="1BA478EB">
            <w:pPr>
              <w:spacing w:line="300" w:lineRule="auto"/>
              <w:rPr>
                <w:rFonts w:hint="eastAsia" w:eastAsia="仿宋_GB2312"/>
                <w:sz w:val="24"/>
              </w:rPr>
            </w:pPr>
            <w:r>
              <w:rPr>
                <w:rFonts w:hint="eastAsia" w:eastAsia="仿宋_GB2312"/>
                <w:sz w:val="24"/>
              </w:rPr>
              <w:t>（学术论文、专利申请、</w:t>
            </w:r>
            <w:bookmarkStart w:id="3" w:name="OLE_LINK11"/>
            <w:r>
              <w:rPr>
                <w:rFonts w:hint="eastAsia" w:eastAsia="仿宋_GB2312"/>
                <w:sz w:val="24"/>
              </w:rPr>
              <w:t>竞赛获奖</w:t>
            </w:r>
            <w:bookmarkEnd w:id="3"/>
            <w:r>
              <w:rPr>
                <w:rFonts w:hint="eastAsia" w:eastAsia="仿宋_GB2312"/>
                <w:sz w:val="24"/>
              </w:rPr>
              <w:t>、开发软件、研制产品、项目鉴定，推广应用等，其中前三项至少任选其一）</w:t>
            </w:r>
          </w:p>
          <w:p w14:paraId="497026D8">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学术论文：</w:t>
            </w:r>
            <w:r>
              <w:rPr>
                <w:rFonts w:ascii="仿宋_GB2312" w:hAnsi="仿宋_GB2312" w:eastAsia="仿宋_GB2312"/>
                <w:b w:val="0"/>
                <w:sz w:val="24"/>
              </w:rPr>
              <w:t xml:space="preserve"> 以“基于Agent驱动的哲学社会科学分层辅助阅读方法研究”或相近方向为题，目标投稿中文学术期刊或相关会议；</w:t>
            </w:r>
          </w:p>
          <w:p w14:paraId="6B77941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w:t>
            </w:r>
            <w:r>
              <w:rPr>
                <w:rFonts w:ascii="仿宋_GB2312" w:hAnsi="仿宋_GB2312" w:eastAsia="仿宋_GB2312"/>
                <w:b/>
                <w:sz w:val="24"/>
              </w:rPr>
              <w:t>竞赛参赛：</w:t>
            </w:r>
            <w:r>
              <w:rPr>
                <w:rFonts w:ascii="仿宋_GB2312" w:hAnsi="仿宋_GB2312" w:eastAsia="仿宋_GB2312"/>
                <w:b w:val="0"/>
                <w:sz w:val="24"/>
              </w:rPr>
              <w:t xml:space="preserve"> 以本项目成果参加“挑战杯”全国大学生课外学术科技作品竞赛、中国国际“互联网+”大学生创新创业大赛等赛事；</w:t>
            </w:r>
          </w:p>
          <w:p w14:paraId="6F159C5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w:t>
            </w:r>
            <w:r>
              <w:rPr>
                <w:rFonts w:ascii="仿宋_GB2312" w:hAnsi="仿宋_GB2312" w:eastAsia="仿宋_GB2312"/>
                <w:b/>
                <w:sz w:val="24"/>
              </w:rPr>
              <w:t>软件原型：</w:t>
            </w:r>
            <w:r>
              <w:rPr>
                <w:rFonts w:ascii="仿宋_GB2312" w:hAnsi="仿宋_GB2312" w:eastAsia="仿宋_GB2312"/>
                <w:b w:val="0"/>
                <w:sz w:val="24"/>
              </w:rPr>
              <w:t xml:space="preserve"> 完成“智驱思阅”Web辅助阅读工具，支持EPUB/TXT导入、四层辅助内容、Agent任务、笔记、对话、搜索和设置；</w:t>
            </w:r>
          </w:p>
          <w:p w14:paraId="10B8ACA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w:t>
            </w:r>
            <w:r>
              <w:rPr>
                <w:rFonts w:ascii="仿宋_GB2312" w:hAnsi="仿宋_GB2312" w:eastAsia="仿宋_GB2312"/>
                <w:b/>
                <w:sz w:val="24"/>
              </w:rPr>
              <w:t>软件著作权：</w:t>
            </w:r>
            <w:r>
              <w:rPr>
                <w:rFonts w:ascii="仿宋_GB2312" w:hAnsi="仿宋_GB2312" w:eastAsia="仿宋_GB2312"/>
                <w:b w:val="0"/>
                <w:sz w:val="24"/>
              </w:rPr>
              <w:t xml:space="preserve"> 申请“智驱思阅——哲学社会科学辅助阅读系统”计算机软件著作权；</w:t>
            </w:r>
          </w:p>
          <w:p w14:paraId="5FEF549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（5）</w:t>
            </w:r>
            <w:r>
              <w:rPr>
                <w:rFonts w:ascii="仿宋_GB2312" w:hAnsi="仿宋_GB2312" w:eastAsia="仿宋_GB2312"/>
                <w:b/>
                <w:sz w:val="24"/>
              </w:rPr>
              <w:t>评估报告：</w:t>
            </w:r>
            <w:r>
              <w:rPr>
                <w:rFonts w:ascii="仿宋_GB2312" w:hAnsi="仿宋_GB2312" w:eastAsia="仿宋_GB2312"/>
                <w:b w:val="0"/>
                <w:sz w:val="24"/>
              </w:rPr>
              <w:t xml:space="preserve"> 形成包含技术指标、专家评审和读者实验结果的应用评估报告；</w:t>
            </w:r>
          </w:p>
          <w:p w14:paraId="30D5298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（6）</w:t>
            </w:r>
            <w:r>
              <w:rPr>
                <w:rFonts w:ascii="仿宋_GB2312" w:hAnsi="仿宋_GB2312" w:eastAsia="仿宋_GB2312"/>
                <w:b/>
                <w:sz w:val="24"/>
              </w:rPr>
              <w:t>演示与说明材料：</w:t>
            </w:r>
            <w:r>
              <w:rPr>
                <w:rFonts w:ascii="仿宋_GB2312" w:hAnsi="仿宋_GB2312" w:eastAsia="仿宋_GB2312"/>
                <w:b w:val="0"/>
                <w:sz w:val="24"/>
              </w:rPr>
              <w:t xml:space="preserve"> 整理系统说明、接口文档、演示视频和使用手册，支持教学演示与后续研究。</w:t>
            </w:r>
          </w:p>
          <w:p w14:paraId="30D5298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highlight w:val="green"/>
              </w:rPr>
              <w:t>（7）应用案例：形成课程阅读和读书会/阅读推广试点案例，记录使用流程、用户反馈和改进项；</w:t>
            </w:r>
          </w:p>
          <w:p w14:paraId="30D5298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highlight w:val="green"/>
              </w:rPr>
              <w:t>（8）PRD与用例库：形成产品需求文档摘要、好内容用例库和自动验收记录，支撑后续迭代与复用。</w:t>
            </w:r>
          </w:p>
        </w:tc>
      </w:tr>
      <w:tr w14:paraId="365D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5047B1AB">
            <w:pPr>
              <w:keepLines/>
              <w:rPr>
                <w:b/>
                <w:sz w:val="24"/>
                <w:szCs w:val="22"/>
              </w:rPr>
            </w:pPr>
            <w:r>
              <w:rPr>
                <w:rFonts w:hint="eastAsia"/>
                <w:b/>
                <w:sz w:val="24"/>
                <w:szCs w:val="22"/>
              </w:rPr>
              <w:t>结合专业学习的计划</w:t>
            </w:r>
          </w:p>
        </w:tc>
        <w:tc>
          <w:tcPr>
            <w:tcW w:w="9458" w:type="dxa"/>
          </w:tcPr>
          <w:p w14:paraId="0CB46756">
            <w:pPr>
              <w:spacing w:line="300" w:lineRule="auto"/>
              <w:rPr>
                <w:rFonts w:hint="eastAsia" w:eastAsia="仿宋_GB2312"/>
                <w:sz w:val="24"/>
              </w:rPr>
            </w:pPr>
            <w:r>
              <w:rPr>
                <w:rFonts w:hint="default" w:eastAsia="仿宋_GB2312"/>
                <w:sz w:val="24"/>
              </w:rPr>
              <w:t>（是否有进一步深造的想法？如何通过参与项目研究加强专业学习，培养自身的实践能力、科研能力。）</w:t>
            </w:r>
          </w:p>
          <w:p w14:paraId="2F9C67BB">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项目成员将在以下方面加强专业学习与能力培养：</w:t>
            </w:r>
          </w:p>
          <w:p w14:paraId="2C31AC3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跨学科知识融合。</w:t>
            </w:r>
            <w:r>
              <w:rPr>
                <w:rFonts w:ascii="仿宋_GB2312" w:hAnsi="仿宋_GB2312" w:eastAsia="仿宋_GB2312"/>
                <w:b w:val="0"/>
                <w:sz w:val="24"/>
              </w:rPr>
              <w:t xml:space="preserve"> 在哲学社会科学文本分析、数字人文、软件工程和人工智能之间建立联系，理解技术实现与学科需求之间的转换；</w:t>
            </w:r>
          </w:p>
          <w:p w14:paraId="72470080">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科研实践能力。</w:t>
            </w:r>
            <w:r>
              <w:rPr>
                <w:rFonts w:ascii="仿宋_GB2312" w:hAnsi="仿宋_GB2312" w:eastAsia="仿宋_GB2312"/>
                <w:b w:val="0"/>
                <w:sz w:val="24"/>
              </w:rPr>
              <w:t xml:space="preserve"> 完整参与文献调研、需求分析、系统设计、开发测试、专家评审和用户实验，掌握从问题到证据的研究流程；</w:t>
            </w:r>
          </w:p>
          <w:p w14:paraId="17A9F0C9">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学术表达能力。</w:t>
            </w:r>
            <w:r>
              <w:rPr>
                <w:rFonts w:ascii="仿宋_GB2312" w:hAnsi="仿宋_GB2312" w:eastAsia="仿宋_GB2312"/>
                <w:b w:val="0"/>
                <w:sz w:val="24"/>
              </w:rPr>
              <w:t xml:space="preserve"> 通过论文写作、竞赛答辩和项目文档撰写，提升把工程实践转化为可交流研究成果的能力；</w:t>
            </w:r>
          </w:p>
          <w:p w14:paraId="22A0EAF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长期发展方向。</w:t>
            </w:r>
            <w:r>
              <w:rPr>
                <w:rFonts w:ascii="仿宋_GB2312" w:hAnsi="仿宋_GB2312" w:eastAsia="仿宋_GB2312"/>
                <w:b w:val="0"/>
                <w:sz w:val="24"/>
              </w:rPr>
              <w:t xml:space="preserve"> 以本项目为基础，继续探索Agent在人文社科阅读、教学和研究辅助中的应用，为后续深造或相关工作积累经验。</w:t>
            </w:r>
          </w:p>
        </w:tc>
      </w:tr>
    </w:tbl>
    <w:p w14:paraId="64335256">
      <w:pPr>
        <w:rPr>
          <w:rFonts w:hint="eastAsia"/>
          <w:b/>
          <w:sz w:val="32"/>
          <w:szCs w:val="32"/>
        </w:rPr>
      </w:pPr>
      <w:r>
        <w:rPr>
          <w:rFonts w:hint="eastAsia"/>
          <w:b/>
          <w:sz w:val="32"/>
          <w:szCs w:val="32"/>
        </w:rPr>
        <w:br w:type="page"/>
      </w:r>
    </w:p>
    <w:p w14:paraId="74CDDC85">
      <w:pPr>
        <w:keepNext/>
        <w:keepLines/>
        <w:spacing w:before="312" w:beforeLines="100" w:after="156" w:afterLines="50"/>
        <w:ind w:right="-512" w:rightChars="-244"/>
        <w:rPr>
          <w:b/>
          <w:sz w:val="32"/>
          <w:szCs w:val="32"/>
        </w:rPr>
      </w:pPr>
      <w:r>
        <w:rPr>
          <w:rFonts w:hint="eastAsia"/>
          <w:b/>
          <w:sz w:val="32"/>
          <w:szCs w:val="32"/>
        </w:rPr>
        <w:t>七、项目经费预算</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5C0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81" w:type="dxa"/>
            <w:vMerge w:val="restart"/>
            <w:vAlign w:val="center"/>
          </w:tcPr>
          <w:p w14:paraId="1891C338">
            <w:pPr>
              <w:keepLines/>
              <w:rPr>
                <w:b/>
                <w:sz w:val="24"/>
              </w:rPr>
            </w:pPr>
            <w:r>
              <w:rPr>
                <w:rFonts w:hint="eastAsia"/>
                <w:b/>
                <w:sz w:val="24"/>
                <w:szCs w:val="22"/>
              </w:rPr>
              <w:t>项目经费使用计划</w:t>
            </w:r>
          </w:p>
        </w:tc>
        <w:tc>
          <w:tcPr>
            <w:tcW w:w="9458" w:type="dxa"/>
          </w:tcPr>
          <w:p w14:paraId="19A7F924">
            <w:pPr>
              <w:spacing w:line="300" w:lineRule="auto"/>
              <w:rPr>
                <w:rFonts w:ascii="仿宋_GB2312" w:hAnsi="宋体" w:eastAsia="仿宋_GB2312"/>
                <w:sz w:val="24"/>
              </w:rPr>
            </w:pPr>
            <w:r>
              <w:rPr>
                <w:rFonts w:hint="eastAsia" w:ascii="仿宋_GB2312" w:hAnsi="宋体" w:eastAsia="仿宋_GB2312"/>
                <w:sz w:val="24"/>
              </w:rPr>
              <w:t>（包括大概支出科目（含配套经费）、金额、计算根据及理由，如果别的经费支持请说明）</w:t>
            </w:r>
          </w:p>
        </w:tc>
      </w:tr>
      <w:tr w14:paraId="126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1" w:hRule="atLeast"/>
          <w:jc w:val="center"/>
        </w:trPr>
        <w:tc>
          <w:tcPr>
            <w:tcW w:w="481" w:type="dxa"/>
            <w:vMerge w:val="continue"/>
            <w:vAlign w:val="center"/>
          </w:tcPr>
          <w:p w14:paraId="100A861B">
            <w:pPr>
              <w:rPr>
                <w:b/>
                <w:sz w:val="24"/>
                <w:szCs w:val="22"/>
              </w:rPr>
            </w:pPr>
          </w:p>
        </w:tc>
        <w:tc>
          <w:tcPr>
            <w:tcW w:w="9458" w:type="dxa"/>
          </w:tcPr>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78"/>
              <w:gridCol w:w="1595"/>
              <w:gridCol w:w="4666"/>
            </w:tblGrid>
            <w:tr w14:paraId="63E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7EC76916">
                  <w:pPr>
                    <w:jc w:val="center"/>
                    <w:rPr>
                      <w:rFonts w:ascii="仿宋_GB2312" w:hAnsi="宋体" w:eastAsia="仿宋_GB2312"/>
                      <w:bCs/>
                      <w:sz w:val="24"/>
                    </w:rPr>
                  </w:pPr>
                  <w:r>
                    <w:rPr>
                      <w:rFonts w:ascii="仿宋_GB2312" w:hAnsi="仿宋_GB2312" w:eastAsia="仿宋_GB2312"/>
                      <w:b/>
                      <w:sz w:val="24"/>
                    </w:rPr>
                    <w:t>支出科目</w:t>
                  </w:r>
                </w:p>
              </w:tc>
              <w:tc>
                <w:tcPr>
                  <w:tcW w:w="1595" w:type="dxa"/>
                  <w:vAlign w:val="center"/>
                </w:tcPr>
                <w:p w14:paraId="4317626F">
                  <w:pPr>
                    <w:jc w:val="center"/>
                    <w:rPr>
                      <w:rFonts w:ascii="仿宋_GB2312" w:hAnsi="宋体" w:eastAsia="仿宋_GB2312"/>
                      <w:bCs/>
                      <w:sz w:val="24"/>
                    </w:rPr>
                  </w:pPr>
                  <w:r>
                    <w:rPr>
                      <w:rFonts w:ascii="仿宋_GB2312" w:hAnsi="仿宋_GB2312" w:eastAsia="仿宋_GB2312"/>
                      <w:b/>
                      <w:sz w:val="24"/>
                    </w:rPr>
                    <w:t>金额（元）</w:t>
                  </w:r>
                </w:p>
              </w:tc>
              <w:tc>
                <w:tcPr>
                  <w:tcW w:w="4666" w:type="dxa"/>
                  <w:vAlign w:val="center"/>
                </w:tcPr>
                <w:p w14:paraId="7328164F">
                  <w:pPr>
                    <w:jc w:val="center"/>
                    <w:rPr>
                      <w:rFonts w:ascii="仿宋_GB2312" w:hAnsi="宋体" w:eastAsia="仿宋_GB2312"/>
                      <w:bCs/>
                      <w:sz w:val="24"/>
                    </w:rPr>
                  </w:pPr>
                  <w:r>
                    <w:rPr>
                      <w:rFonts w:ascii="仿宋_GB2312" w:hAnsi="仿宋_GB2312" w:eastAsia="仿宋_GB2312"/>
                      <w:b/>
                      <w:sz w:val="24"/>
                    </w:rPr>
                    <w:t>计算根据及理由</w:t>
                  </w:r>
                </w:p>
              </w:tc>
            </w:tr>
            <w:tr w14:paraId="351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108DC9A3">
                  <w:pPr>
                    <w:spacing w:line="300" w:lineRule="auto"/>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云端算力/模型API</w:t>
                  </w:r>
                </w:p>
              </w:tc>
              <w:tc>
                <w:tcPr>
                  <w:tcW w:w="1595" w:type="dxa"/>
                  <w:vAlign w:val="center"/>
                </w:tcPr>
                <w:p w14:paraId="2A7D1AD4">
                  <w:pPr>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1200</w:t>
                  </w:r>
                </w:p>
              </w:tc>
              <w:tc>
                <w:tcPr>
                  <w:tcW w:w="4666" w:type="dxa"/>
                  <w:vAlign w:val="center"/>
                </w:tcPr>
                <w:p w14:paraId="28055CFA">
                  <w:pPr>
                    <w:numPr>
                      <w:ilvl w:val="0"/>
                      <w:numId w:val="1"/>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兼容OpenAI接口的模型调用，按Token计费；用于开发调试、验证语料运行和用户实验，预计约600—1200元。</w:t>
                  </w:r>
                </w:p>
              </w:tc>
            </w:tr>
            <w:tr w14:paraId="182A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15D1A27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论文版面费</w:t>
                  </w:r>
                </w:p>
              </w:tc>
              <w:tc>
                <w:tcPr>
                  <w:tcW w:w="1595" w:type="dxa"/>
                </w:tcPr>
                <w:p w14:paraId="08DA1B0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1200</w:t>
                  </w:r>
                </w:p>
              </w:tc>
              <w:tc>
                <w:tcPr>
                  <w:tcW w:w="4666" w:type="dxa"/>
                </w:tcPr>
                <w:p w14:paraId="0892CE9A">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目标期刊/会议论文版面费；若发表更高水平期刊，另行申请支持。</w:t>
                  </w:r>
                </w:p>
              </w:tc>
            </w:tr>
            <w:tr w14:paraId="1359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73D38AD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软件著作权申请</w:t>
                  </w:r>
                </w:p>
              </w:tc>
              <w:tc>
                <w:tcPr>
                  <w:tcW w:w="1595" w:type="dxa"/>
                </w:tcPr>
                <w:p w14:paraId="26FD83C9">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600</w:t>
                  </w:r>
                </w:p>
              </w:tc>
              <w:tc>
                <w:tcPr>
                  <w:tcW w:w="4666" w:type="dxa"/>
                </w:tcPr>
                <w:p w14:paraId="77A761F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计算机软件著作权代理申请费用，含官费和代理服务费。</w:t>
                  </w:r>
                </w:p>
              </w:tc>
            </w:tr>
            <w:tr w14:paraId="3D7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603FD4C7">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专家评审与用户实验</w:t>
                  </w:r>
                </w:p>
              </w:tc>
              <w:tc>
                <w:tcPr>
                  <w:tcW w:w="1595" w:type="dxa"/>
                </w:tcPr>
                <w:p w14:paraId="21516536">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1000</w:t>
                  </w:r>
                </w:p>
              </w:tc>
              <w:tc>
                <w:tcPr>
                  <w:tcW w:w="4666" w:type="dxa"/>
                </w:tcPr>
                <w:p w14:paraId="5C4F707A">
                  <w:pPr>
                    <w:numPr>
                      <w:ilvl w:val="0"/>
                      <w:numId w:val="2"/>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专家内容评审劳务补贴约500元；实验参与者小礼品约300元；交通、打印等约200元。</w:t>
                  </w:r>
                </w:p>
              </w:tc>
            </w:tr>
            <w:tr w14:paraId="7ECD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0FEF3C2F">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总计</w:t>
                  </w:r>
                </w:p>
              </w:tc>
              <w:tc>
                <w:tcPr>
                  <w:tcW w:w="1595" w:type="dxa"/>
                </w:tcPr>
                <w:p w14:paraId="26237374">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4000</w:t>
                  </w:r>
                </w:p>
              </w:tc>
              <w:tc>
                <w:tcPr>
                  <w:tcW w:w="4666" w:type="dxa"/>
                </w:tcPr>
                <w:p w14:paraId="263B8DE0">
                  <w:pPr>
                    <w:jc w:val="left"/>
                    <w:rPr>
                      <w:rFonts w:hint="eastAsia" w:ascii="仿宋_GB2312" w:hAnsi="仿宋_GB2312" w:eastAsia="仿宋_GB2312" w:cs="仿宋_GB2312"/>
                      <w:sz w:val="24"/>
                      <w:woUserID w:val="1"/>
                    </w:rPr>
                  </w:pPr>
                </w:p>
              </w:tc>
            </w:tr>
          </w:tbl>
          <w:p w14:paraId="489B8C5C">
            <w:pPr>
              <w:spacing w:line="300" w:lineRule="auto"/>
              <w:rPr>
                <w:rFonts w:ascii="宋体" w:hAnsi="宋体"/>
                <w:sz w:val="24"/>
              </w:rPr>
            </w:pPr>
          </w:p>
        </w:tc>
      </w:tr>
    </w:tbl>
    <w:p w14:paraId="3508784A">
      <w:pPr>
        <w:keepNext/>
        <w:keepLines/>
        <w:spacing w:before="312" w:beforeLines="100" w:after="156" w:afterLines="50"/>
        <w:rPr>
          <w:b/>
          <w:sz w:val="32"/>
          <w:szCs w:val="32"/>
        </w:rPr>
      </w:pPr>
      <w:r>
        <w:rPr>
          <w:rFonts w:hint="eastAsia"/>
          <w:b/>
          <w:sz w:val="32"/>
          <w:szCs w:val="32"/>
        </w:rPr>
        <w:t>八、指导教师意见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3E1F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20FB71CC">
            <w:pPr>
              <w:keepLines/>
              <w:rPr>
                <w:b/>
                <w:sz w:val="24"/>
                <w:woUserID w:val="1"/>
              </w:rPr>
            </w:pPr>
            <w:r>
              <w:rPr>
                <w:rFonts w:hint="eastAsia"/>
                <w:b/>
                <w:sz w:val="24"/>
                <w:szCs w:val="22"/>
                <w:woUserID w:val="1"/>
              </w:rPr>
              <w:t>指导教师意见及指导计划</w:t>
            </w:r>
          </w:p>
        </w:tc>
        <w:tc>
          <w:tcPr>
            <w:tcW w:w="9458" w:type="dxa"/>
          </w:tcPr>
          <w:p w14:paraId="69495A73">
            <w:pPr>
              <w:spacing w:line="300" w:lineRule="auto"/>
              <w:rPr>
                <w:rFonts w:hint="eastAsia" w:ascii="仿宋_GB2312" w:hAnsi="宋体" w:eastAsia="仿宋_GB2312"/>
                <w:sz w:val="24"/>
                <w:woUserID w:val="1"/>
              </w:rPr>
            </w:pPr>
            <w:r>
              <w:rPr>
                <w:rFonts w:hint="eastAsia" w:ascii="仿宋_GB2312" w:hAnsi="宋体" w:eastAsia="仿宋_GB2312"/>
                <w:sz w:val="24"/>
                <w:woUserID w:val="1"/>
              </w:rPr>
              <w:t>（指导教师指导项目实施的机会和安排，并从项目学科性、前沿性、可行性、研究性、可操作性和成效性加以评价）</w:t>
            </w:r>
          </w:p>
          <w:p w14:paraId="10F39E8D">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highlight w:val="green"/>
              </w:rPr>
              <w:t>项目面向哲学社会科学著作、论文的深度阅读，将Agent技术、原文证据和自动化验收结合起来，具有明确的学科交叉性和应用价值。项目已完成可运行原型，技术路线清晰，具备继续迭代和开展小规模评估的基础。</w:t>
            </w:r>
          </w:p>
          <w:p w14:paraId="57E16795">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将在选题定位、研究设计、文本选择、论文写作规范、专家与用户调研、竞赛材料准备等方面提供指导；重点帮助团队把“工具功能”转化为可检验的研究问题，避免技术堆叠和过度承诺。项目需要特别关注生成内容的证据准确性、概念辨析质量、用户实际使用体验和数据安全边界。</w:t>
            </w:r>
          </w:p>
          <w:p w14:paraId="124CF226">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具有较好的可行性：团队具备人文社科与软件开发的基础，已有原型和测试环境，研究周期与经费安排合理。建议按阶段推进，先完成小规模真实文本验证，再扩大实验范围，确保每个功能都有对应的使用场景和评估证据。</w:t>
            </w:r>
          </w:p>
          <w:p w14:paraId="21093D2B">
            <w:pPr>
              <w:tabs>
                <w:tab w:val="left" w:pos="5411"/>
              </w:tabs>
              <w:spacing w:after="156" w:afterLines="50" w:line="360" w:lineRule="auto"/>
              <w:ind w:right="964"/>
              <w:jc w:val="center"/>
              <w:rPr>
                <w:rFonts w:ascii="仿宋_GB2312" w:hAnsi="宋体" w:eastAsia="仿宋_GB2312"/>
                <w:b/>
                <w:sz w:val="24"/>
                <w:woUserID w:val="1"/>
              </w:rPr>
            </w:pPr>
            <w:r>
              <w:rPr>
                <w:rFonts w:hint="eastAsia" w:ascii="仿宋_GB2312" w:hAnsi="宋体" w:eastAsia="仿宋_GB2312"/>
                <w:b/>
                <w:sz w:val="24"/>
                <w:woUserID w:val="1"/>
              </w:rPr>
              <w:t xml:space="preserve">   </w:t>
            </w:r>
            <w:r>
              <w:rPr>
                <w:rFonts w:ascii="仿宋_GB2312" w:hAnsi="宋体" w:eastAsia="仿宋_GB2312"/>
                <w:b/>
                <w:sz w:val="24"/>
                <w:woUserID w:val="1"/>
              </w:rPr>
              <w:t xml:space="preserve">                               </w:t>
            </w:r>
            <w:r>
              <w:rPr>
                <w:rFonts w:hint="eastAsia" w:ascii="仿宋_GB2312" w:hAnsi="宋体" w:eastAsia="仿宋_GB2312"/>
                <w:b/>
                <w:sz w:val="24"/>
                <w:lang w:val="en-US" w:eastAsia="zh-CN"/>
                <w:woUserID w:val="1"/>
              </w:rPr>
              <w:t xml:space="preserve">          </w:t>
            </w:r>
            <w:r>
              <w:rPr>
                <w:rFonts w:hint="eastAsia" w:ascii="仿宋_GB2312" w:hAnsi="宋体" w:eastAsia="仿宋_GB2312"/>
                <w:b/>
                <w:sz w:val="24"/>
                <w:woUserID w:val="1"/>
              </w:rPr>
              <w:t xml:space="preserve">指导教师签字：       </w:t>
            </w:r>
          </w:p>
          <w:p w14:paraId="00920852">
            <w:pPr>
              <w:spacing w:line="300" w:lineRule="auto"/>
              <w:jc w:val="right"/>
              <w:rPr>
                <w:rFonts w:ascii="仿宋_GB2312" w:hAnsi="宋体" w:eastAsia="仿宋_GB2312"/>
                <w:sz w:val="24"/>
                <w:woUserID w:val="1"/>
              </w:rPr>
            </w:pPr>
            <w:r>
              <w:rPr>
                <w:rFonts w:ascii="仿宋_GB2312" w:hAnsi="仿宋_GB2312" w:eastAsia="仿宋_GB2312"/>
                <w:b/>
                <w:sz w:val="24"/>
              </w:rPr>
              <w:t>2026年10月</w:t>
            </w:r>
          </w:p>
        </w:tc>
      </w:tr>
    </w:tbl>
    <w:p w14:paraId="01715611">
      <w:pPr>
        <w:keepNext/>
        <w:keepLines/>
        <w:spacing w:before="312" w:beforeLines="100" w:after="156" w:afterLines="50"/>
        <w:rPr>
          <w:b/>
          <w:sz w:val="32"/>
          <w:szCs w:val="32"/>
        </w:rPr>
      </w:pPr>
      <w:r>
        <w:rPr>
          <w:rFonts w:hint="eastAsia"/>
          <w:b/>
          <w:sz w:val="32"/>
          <w:szCs w:val="32"/>
        </w:rPr>
        <w:t>九、审查意见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70CD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jc w:val="center"/>
        </w:trPr>
        <w:tc>
          <w:tcPr>
            <w:tcW w:w="481" w:type="dxa"/>
            <w:vAlign w:val="center"/>
          </w:tcPr>
          <w:p w14:paraId="73FF85E4">
            <w:pPr>
              <w:keepLines/>
              <w:rPr>
                <w:b/>
                <w:sz w:val="24"/>
              </w:rPr>
            </w:pPr>
            <w:r>
              <w:rPr>
                <w:rFonts w:hint="eastAsia"/>
                <w:b/>
                <w:sz w:val="24"/>
              </w:rPr>
              <w:t>答辩专家组意见</w:t>
            </w:r>
          </w:p>
        </w:tc>
        <w:tc>
          <w:tcPr>
            <w:tcW w:w="9458" w:type="dxa"/>
          </w:tcPr>
          <w:p w14:paraId="2CC0731E">
            <w:pPr>
              <w:spacing w:line="300" w:lineRule="auto"/>
              <w:rPr>
                <w:rFonts w:ascii="宋体" w:hAnsi="宋体"/>
                <w:sz w:val="24"/>
              </w:rPr>
            </w:pPr>
          </w:p>
          <w:p w14:paraId="6E0D0B81">
            <w:pPr>
              <w:spacing w:line="300" w:lineRule="auto"/>
              <w:rPr>
                <w:rFonts w:ascii="宋体" w:hAnsi="宋体"/>
                <w:sz w:val="24"/>
              </w:rPr>
            </w:pPr>
          </w:p>
          <w:p w14:paraId="057F4A41">
            <w:pPr>
              <w:spacing w:line="300" w:lineRule="auto"/>
              <w:rPr>
                <w:rFonts w:ascii="宋体" w:hAnsi="宋体"/>
                <w:sz w:val="24"/>
              </w:rPr>
            </w:pPr>
          </w:p>
          <w:p w14:paraId="7F5052C9">
            <w:pPr>
              <w:spacing w:line="300" w:lineRule="auto"/>
              <w:rPr>
                <w:rFonts w:ascii="宋体" w:hAnsi="宋体"/>
                <w:sz w:val="24"/>
              </w:rPr>
            </w:pPr>
          </w:p>
          <w:p w14:paraId="4784EB8B">
            <w:pPr>
              <w:spacing w:line="300" w:lineRule="auto"/>
              <w:rPr>
                <w:rFonts w:ascii="宋体" w:hAnsi="宋体"/>
                <w:sz w:val="24"/>
              </w:rPr>
            </w:pPr>
          </w:p>
          <w:p w14:paraId="514D1D5E">
            <w:pPr>
              <w:spacing w:line="300" w:lineRule="auto"/>
              <w:rPr>
                <w:rFonts w:ascii="宋体" w:hAnsi="宋体"/>
                <w:sz w:val="24"/>
              </w:rPr>
            </w:pPr>
          </w:p>
          <w:p w14:paraId="166C923E">
            <w:pPr>
              <w:wordWrap w:val="0"/>
              <w:spacing w:after="156" w:afterLines="50" w:line="360" w:lineRule="auto"/>
              <w:jc w:val="right"/>
              <w:rPr>
                <w:rFonts w:ascii="仿宋_GB2312" w:hAnsi="宋体" w:eastAsia="仿宋_GB2312"/>
                <w:b/>
                <w:sz w:val="24"/>
              </w:rPr>
            </w:pPr>
          </w:p>
          <w:p w14:paraId="5E3307F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答辩专家组签字：                </w:t>
            </w:r>
          </w:p>
          <w:p w14:paraId="66C6B9AB">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年  月  日</w:t>
            </w:r>
          </w:p>
        </w:tc>
      </w:tr>
      <w:tr w14:paraId="712B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3"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36C639A">
            <w:pPr>
              <w:keepLines/>
              <w:rPr>
                <w:b/>
                <w:sz w:val="24"/>
              </w:rPr>
            </w:pPr>
            <w:r>
              <w:rPr>
                <w:rFonts w:hint="eastAsia"/>
                <w:b/>
                <w:sz w:val="24"/>
              </w:rPr>
              <w:t>学院意见</w:t>
            </w:r>
          </w:p>
        </w:tc>
        <w:tc>
          <w:tcPr>
            <w:tcW w:w="9458" w:type="dxa"/>
            <w:tcBorders>
              <w:top w:val="single" w:color="auto" w:sz="4" w:space="0"/>
              <w:left w:val="single" w:color="auto" w:sz="4" w:space="0"/>
              <w:bottom w:val="single" w:color="auto" w:sz="4" w:space="0"/>
              <w:right w:val="single" w:color="auto" w:sz="4" w:space="0"/>
            </w:tcBorders>
          </w:tcPr>
          <w:p w14:paraId="1035D6B3">
            <w:pPr>
              <w:spacing w:line="300" w:lineRule="auto"/>
              <w:rPr>
                <w:rFonts w:ascii="宋体" w:hAnsi="宋体"/>
                <w:sz w:val="24"/>
                <w:szCs w:val="21"/>
              </w:rPr>
            </w:pPr>
          </w:p>
          <w:p w14:paraId="7C7A5D00">
            <w:pPr>
              <w:spacing w:line="300" w:lineRule="auto"/>
              <w:rPr>
                <w:rFonts w:ascii="宋体" w:hAnsi="宋体"/>
                <w:sz w:val="24"/>
                <w:szCs w:val="21"/>
              </w:rPr>
            </w:pPr>
          </w:p>
          <w:p w14:paraId="7D4ED03E">
            <w:pPr>
              <w:spacing w:line="300" w:lineRule="auto"/>
              <w:rPr>
                <w:rFonts w:ascii="宋体" w:hAnsi="宋体"/>
                <w:sz w:val="24"/>
                <w:szCs w:val="21"/>
              </w:rPr>
            </w:pPr>
          </w:p>
          <w:p w14:paraId="5397D57B">
            <w:pPr>
              <w:spacing w:line="300" w:lineRule="auto"/>
              <w:rPr>
                <w:rFonts w:ascii="宋体" w:hAnsi="宋体"/>
                <w:sz w:val="24"/>
                <w:szCs w:val="21"/>
              </w:rPr>
            </w:pPr>
          </w:p>
          <w:p w14:paraId="02E5AC60">
            <w:pPr>
              <w:spacing w:line="300" w:lineRule="auto"/>
              <w:rPr>
                <w:rFonts w:ascii="宋体" w:hAnsi="宋体"/>
                <w:sz w:val="24"/>
                <w:szCs w:val="21"/>
              </w:rPr>
            </w:pPr>
          </w:p>
          <w:p w14:paraId="40128670">
            <w:pPr>
              <w:spacing w:line="300" w:lineRule="auto"/>
              <w:rPr>
                <w:rFonts w:ascii="宋体" w:hAnsi="宋体"/>
                <w:sz w:val="24"/>
                <w:szCs w:val="21"/>
              </w:rPr>
            </w:pPr>
          </w:p>
          <w:p w14:paraId="21BC4CE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学院负责人签字：                </w:t>
            </w:r>
          </w:p>
          <w:p w14:paraId="4FE039ED">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681B0F6A">
            <w:pPr>
              <w:spacing w:line="300" w:lineRule="auto"/>
              <w:jc w:val="right"/>
              <w:rPr>
                <w:rFonts w:ascii="仿宋_GB2312" w:hAnsi="宋体" w:eastAsia="仿宋_GB2312"/>
                <w:szCs w:val="21"/>
              </w:rPr>
            </w:pPr>
            <w:r>
              <w:rPr>
                <w:rFonts w:hint="eastAsia" w:ascii="仿宋_GB2312" w:hAnsi="宋体" w:eastAsia="仿宋_GB2312"/>
                <w:sz w:val="24"/>
              </w:rPr>
              <w:t>（学院盖章）</w:t>
            </w:r>
          </w:p>
        </w:tc>
      </w:tr>
      <w:tr w14:paraId="3C0F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2342A74">
            <w:pPr>
              <w:keepLines/>
              <w:rPr>
                <w:b/>
                <w:sz w:val="24"/>
              </w:rPr>
            </w:pPr>
            <w:r>
              <w:rPr>
                <w:rFonts w:hint="eastAsia"/>
                <w:b/>
                <w:sz w:val="24"/>
              </w:rPr>
              <w:t>学校意见</w:t>
            </w:r>
          </w:p>
        </w:tc>
        <w:tc>
          <w:tcPr>
            <w:tcW w:w="9458" w:type="dxa"/>
            <w:tcBorders>
              <w:top w:val="single" w:color="auto" w:sz="4" w:space="0"/>
              <w:left w:val="single" w:color="auto" w:sz="4" w:space="0"/>
              <w:bottom w:val="single" w:color="auto" w:sz="4" w:space="0"/>
              <w:right w:val="single" w:color="auto" w:sz="4" w:space="0"/>
            </w:tcBorders>
          </w:tcPr>
          <w:p w14:paraId="464D60C2">
            <w:pPr>
              <w:spacing w:line="300" w:lineRule="auto"/>
              <w:rPr>
                <w:rFonts w:ascii="宋体" w:hAnsi="宋体"/>
                <w:sz w:val="24"/>
                <w:szCs w:val="21"/>
              </w:rPr>
            </w:pPr>
          </w:p>
          <w:p w14:paraId="2185CA4B">
            <w:pPr>
              <w:spacing w:line="300" w:lineRule="auto"/>
              <w:rPr>
                <w:rFonts w:ascii="宋体" w:hAnsi="宋体"/>
                <w:sz w:val="24"/>
                <w:szCs w:val="21"/>
              </w:rPr>
            </w:pPr>
          </w:p>
          <w:p w14:paraId="24AE7497">
            <w:pPr>
              <w:spacing w:line="300" w:lineRule="auto"/>
              <w:rPr>
                <w:rFonts w:ascii="宋体" w:hAnsi="宋体"/>
                <w:sz w:val="24"/>
                <w:szCs w:val="21"/>
              </w:rPr>
            </w:pPr>
          </w:p>
          <w:p w14:paraId="53BB9A6C">
            <w:pPr>
              <w:spacing w:line="300" w:lineRule="auto"/>
              <w:rPr>
                <w:rFonts w:ascii="宋体" w:hAnsi="宋体"/>
                <w:sz w:val="24"/>
                <w:szCs w:val="21"/>
              </w:rPr>
            </w:pPr>
          </w:p>
          <w:p w14:paraId="5F200BB5">
            <w:pPr>
              <w:spacing w:line="300" w:lineRule="auto"/>
              <w:rPr>
                <w:rFonts w:ascii="宋体" w:hAnsi="宋体"/>
                <w:sz w:val="24"/>
                <w:szCs w:val="21"/>
              </w:rPr>
            </w:pPr>
          </w:p>
          <w:p w14:paraId="6B6DFCDD">
            <w:pPr>
              <w:spacing w:line="300" w:lineRule="auto"/>
              <w:rPr>
                <w:rFonts w:ascii="宋体" w:hAnsi="宋体"/>
                <w:sz w:val="24"/>
                <w:szCs w:val="21"/>
              </w:rPr>
            </w:pPr>
          </w:p>
          <w:p w14:paraId="758A8984">
            <w:pPr>
              <w:spacing w:line="300" w:lineRule="auto"/>
              <w:rPr>
                <w:rFonts w:ascii="宋体" w:hAnsi="宋体"/>
                <w:sz w:val="24"/>
                <w:szCs w:val="21"/>
              </w:rPr>
            </w:pPr>
          </w:p>
          <w:p w14:paraId="5ECA880F">
            <w:pPr>
              <w:spacing w:line="300" w:lineRule="auto"/>
              <w:rPr>
                <w:rFonts w:ascii="宋体" w:hAnsi="宋体"/>
                <w:sz w:val="24"/>
                <w:szCs w:val="21"/>
              </w:rPr>
            </w:pPr>
          </w:p>
          <w:p w14:paraId="1AD29213">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负责人签字：                </w:t>
            </w:r>
          </w:p>
          <w:p w14:paraId="1B3AA897">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3462597C">
            <w:pPr>
              <w:spacing w:line="300" w:lineRule="auto"/>
              <w:jc w:val="right"/>
              <w:rPr>
                <w:rFonts w:ascii="仿宋_GB2312" w:hAnsi="宋体" w:eastAsia="仿宋_GB2312"/>
                <w:szCs w:val="21"/>
              </w:rPr>
            </w:pPr>
            <w:r>
              <w:rPr>
                <w:rFonts w:hint="eastAsia" w:ascii="仿宋_GB2312" w:hAnsi="宋体" w:eastAsia="仿宋_GB2312"/>
                <w:sz w:val="24"/>
              </w:rPr>
              <w:t>（盖章）</w:t>
            </w:r>
          </w:p>
        </w:tc>
      </w:tr>
      <w:bookmarkEnd w:id="0"/>
      <w:bookmarkEnd w:id="1"/>
    </w:tbl>
    <w:p w14:paraId="433114C4"/>
    <w:p w14:paraId="4CF6898E">
      <w:pPr>
        <w:pStyle w:val="3"/>
        <w:jc w:val="center"/>
        <w:rPr>
          <w:rFonts w:ascii="Times New Roman" w:hAnsi="Times New Roman"/>
          <w:snapToGrid w:val="0"/>
          <w:kern w:val="0"/>
        </w:rPr>
      </w:pPr>
      <w:r>
        <w:rPr>
          <w:rFonts w:hint="eastAsia" w:ascii="仿宋_GB2312" w:eastAsia="仿宋_GB2312"/>
        </w:rPr>
        <w:t>附：</w:t>
      </w:r>
      <w:r>
        <w:rPr>
          <w:rFonts w:hint="eastAsia" w:ascii="Times New Roman"/>
          <w:snapToGrid w:val="0"/>
          <w:kern w:val="0"/>
        </w:rPr>
        <w:t>华东理工</w:t>
      </w:r>
      <w:r>
        <w:rPr>
          <w:rFonts w:ascii="Times New Roman"/>
          <w:snapToGrid w:val="0"/>
          <w:kern w:val="0"/>
        </w:rPr>
        <w:t>大学</w:t>
      </w:r>
      <w:r>
        <w:rPr>
          <w:rFonts w:hint="eastAsia" w:ascii="Times New Roman"/>
          <w:snapToGrid w:val="0"/>
          <w:kern w:val="0"/>
        </w:rPr>
        <w:t>“</w:t>
      </w:r>
      <w:r>
        <w:rPr>
          <w:rFonts w:ascii="Times New Roman"/>
          <w:snapToGrid w:val="0"/>
          <w:kern w:val="0"/>
        </w:rPr>
        <w:t>大学生</w:t>
      </w:r>
      <w:r>
        <w:rPr>
          <w:rFonts w:hint="eastAsia" w:ascii="Times New Roman"/>
          <w:snapToGrid w:val="0"/>
          <w:kern w:val="0"/>
        </w:rPr>
        <w:t>创新创业训练</w:t>
      </w:r>
      <w:r>
        <w:rPr>
          <w:rFonts w:ascii="Times New Roman"/>
          <w:snapToGrid w:val="0"/>
          <w:kern w:val="0"/>
        </w:rPr>
        <w:t>计划</w:t>
      </w:r>
      <w:r>
        <w:rPr>
          <w:rFonts w:hint="eastAsia" w:ascii="Times New Roman"/>
          <w:snapToGrid w:val="0"/>
          <w:kern w:val="0"/>
        </w:rPr>
        <w:t>”</w:t>
      </w:r>
      <w:r>
        <w:rPr>
          <w:rFonts w:ascii="Times New Roman"/>
          <w:snapToGrid w:val="0"/>
          <w:kern w:val="0"/>
        </w:rPr>
        <w:t>项目承诺书</w:t>
      </w:r>
    </w:p>
    <w:p w14:paraId="2907EB12">
      <w:pPr>
        <w:adjustRightInd w:val="0"/>
        <w:snapToGrid w:val="0"/>
        <w:spacing w:line="360" w:lineRule="auto"/>
        <w:ind w:firstLine="508" w:firstLineChars="212"/>
        <w:rPr>
          <w:rFonts w:ascii="华文隶书" w:eastAsia="华文隶书"/>
          <w:snapToGrid w:val="0"/>
          <w:color w:val="000000"/>
          <w:kern w:val="0"/>
          <w:sz w:val="24"/>
          <w:szCs w:val="23"/>
        </w:rPr>
      </w:pPr>
    </w:p>
    <w:p w14:paraId="2FD1ED41">
      <w:pPr>
        <w:adjustRightInd w:val="0"/>
        <w:snapToGrid w:val="0"/>
        <w:spacing w:line="360" w:lineRule="auto"/>
        <w:ind w:firstLine="508" w:firstLineChars="212"/>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为确保</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”项目的</w:t>
      </w:r>
      <w:r>
        <w:rPr>
          <w:rFonts w:hint="eastAsia" w:ascii="仿宋_GB2312" w:hAnsi="宋体" w:eastAsia="仿宋_GB2312"/>
          <w:snapToGrid w:val="0"/>
          <w:color w:val="000000"/>
          <w:kern w:val="0"/>
          <w:sz w:val="24"/>
          <w:szCs w:val="23"/>
        </w:rPr>
        <w:t>顺利实施，本项目承诺遵守以下条款要求：</w:t>
      </w:r>
    </w:p>
    <w:p w14:paraId="238796AE">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1. 在项目实施的过程中遵守学校有关规定，恪守学术规范，真正做到诚实守信，实事求是；</w:t>
      </w:r>
    </w:p>
    <w:p w14:paraId="23AC504D">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2. 项目经费严格按学校“大学生创新创业训练计划”项目管理的有关规定执行，按照专款专用原则，保证项目经费的有效合理使用；</w:t>
      </w:r>
    </w:p>
    <w:p w14:paraId="24917191">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3. 接受学校及学院对本项目的检查与监督；</w:t>
      </w:r>
    </w:p>
    <w:p w14:paraId="7ABE881C">
      <w:pPr>
        <w:adjustRightInd w:val="0"/>
        <w:snapToGrid w:val="0"/>
        <w:spacing w:line="360" w:lineRule="auto"/>
        <w:ind w:firstLine="513" w:firstLineChars="214"/>
        <w:rPr>
          <w:rFonts w:ascii="仿宋_GB2312" w:eastAsia="仿宋_GB2312"/>
          <w:sz w:val="24"/>
        </w:rPr>
      </w:pPr>
      <w:r>
        <w:rPr>
          <w:rFonts w:hint="eastAsia" w:ascii="仿宋_GB2312" w:eastAsia="仿宋_GB2312"/>
          <w:snapToGrid w:val="0"/>
          <w:color w:val="000000"/>
          <w:kern w:val="0"/>
          <w:sz w:val="24"/>
          <w:szCs w:val="23"/>
        </w:rPr>
        <w:t>4. 保证研究项目的有序进行，并按华东理工大学“大学生创新创业训练计划”项目管理办法的要求，接受学校的中期检查。</w:t>
      </w:r>
    </w:p>
    <w:p w14:paraId="7A78A277">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z w:val="24"/>
        </w:rPr>
        <w:t>5. 按期完成研究项目并由负责人提交结题报告及有关研究成果、项目经费决算（含使用明细）等材料，并且归还仪器设备、工具、资料等；</w:t>
      </w:r>
    </w:p>
    <w:p w14:paraId="00FD98A9">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6. 因主观原因致使项目无法执行的，将根据实际情况退回全部或部分资助经费；</w:t>
      </w:r>
    </w:p>
    <w:p w14:paraId="1BD62E63">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7. 研究成果如果需要按技术秘密进行保密的，项目负责人及指导教师应制定具体方案并报学校批准；</w:t>
      </w:r>
    </w:p>
    <w:p w14:paraId="02BE5F24">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8. 凡研究工作有发明创造，经学校科研院审查符合条件的，可由科研院协助申报专利，以保护知识产权，维护学校的合法权益；</w:t>
      </w:r>
    </w:p>
    <w:p w14:paraId="5C549885">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9. 本承诺书由本项目全体成员及指导教师签字并经创新创业学院确认后生效，如有违反，愿承担相应责任。</w:t>
      </w:r>
    </w:p>
    <w:p w14:paraId="346BFD80">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drawing>
          <wp:anchor distT="0" distB="0" distL="114300" distR="114300" simplePos="0" relativeHeight="251659264" behindDoc="0" locked="0" layoutInCell="1" allowOverlap="1">
            <wp:simplePos x="0" y="0"/>
            <wp:positionH relativeFrom="column">
              <wp:posOffset>2727325</wp:posOffset>
            </wp:positionH>
            <wp:positionV relativeFrom="paragraph">
              <wp:posOffset>112395</wp:posOffset>
            </wp:positionV>
            <wp:extent cx="979170" cy="579755"/>
            <wp:effectExtent l="0" t="0" r="11430" b="4445"/>
            <wp:wrapNone/>
            <wp:docPr id="2" name="图片 2" descr="34d82cc0d922e8822709f76b84ae8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4d82cc0d922e8822709f76b84ae8c74"/>
                    <pic:cNvPicPr>
                      <a:picLocks noChangeAspect="1"/>
                    </pic:cNvPicPr>
                  </pic:nvPicPr>
                  <pic:blipFill>
                    <a:blip r:embed="rId10"/>
                    <a:srcRect l="16229" t="37542" r="66759" b="43406"/>
                    <a:stretch>
                      <a:fillRect/>
                    </a:stretch>
                  </pic:blipFill>
                  <pic:spPr>
                    <a:xfrm>
                      <a:off x="0" y="0"/>
                      <a:ext cx="979170" cy="579755"/>
                    </a:xfrm>
                    <a:prstGeom prst="rect">
                      <a:avLst/>
                    </a:prstGeom>
                  </pic:spPr>
                </pic:pic>
              </a:graphicData>
            </a:graphic>
          </wp:anchor>
        </w:drawing>
      </w:r>
      <w:r>
        <w:rPr>
          <w:rFonts w:hint="eastAsia" w:ascii="仿宋_GB2312" w:eastAsia="仿宋_GB2312"/>
          <w:snapToGrid w:val="0"/>
          <w:color w:val="000000"/>
          <w:kern w:val="0"/>
          <w:sz w:val="24"/>
          <w:szCs w:val="23"/>
        </w:rPr>
        <w:drawing>
          <wp:anchor distT="0" distB="0" distL="114300" distR="114300" simplePos="0" relativeHeight="251660288" behindDoc="0" locked="0" layoutInCell="1" allowOverlap="1">
            <wp:simplePos x="0" y="0"/>
            <wp:positionH relativeFrom="column">
              <wp:posOffset>1753870</wp:posOffset>
            </wp:positionH>
            <wp:positionV relativeFrom="paragraph">
              <wp:posOffset>53340</wp:posOffset>
            </wp:positionV>
            <wp:extent cx="885190" cy="617220"/>
            <wp:effectExtent l="0" t="0" r="3810" b="17780"/>
            <wp:wrapNone/>
            <wp:docPr id="4" name="图片 4" descr="f0895a93bb2689155da31ae6a154c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895a93bb2689155da31ae6a154cf6f"/>
                    <pic:cNvPicPr>
                      <a:picLocks noChangeAspect="1"/>
                    </pic:cNvPicPr>
                  </pic:nvPicPr>
                  <pic:blipFill>
                    <a:blip r:embed="rId11"/>
                    <a:srcRect l="41030" t="43560" r="41571" b="45170"/>
                    <a:stretch>
                      <a:fillRect/>
                    </a:stretch>
                  </pic:blipFill>
                  <pic:spPr>
                    <a:xfrm>
                      <a:off x="0" y="0"/>
                      <a:ext cx="885190" cy="617220"/>
                    </a:xfrm>
                    <a:prstGeom prst="rect">
                      <a:avLst/>
                    </a:prstGeom>
                  </pic:spPr>
                </pic:pic>
              </a:graphicData>
            </a:graphic>
          </wp:anchor>
        </w:drawing>
      </w:r>
    </w:p>
    <w:p w14:paraId="72EAA893">
      <w:pPr>
        <w:adjustRightInd w:val="0"/>
        <w:snapToGrid w:val="0"/>
        <w:spacing w:line="360" w:lineRule="auto"/>
        <w:ind w:firstLine="480" w:firstLineChars="200"/>
        <w:rPr>
          <w:rFonts w:hint="eastAsia"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项目成员（签字）：</w:t>
      </w:r>
      <w:r>
        <w:rPr>
          <w:rFonts w:hint="eastAsia" w:ascii="仿宋_GB2312" w:eastAsia="仿宋_GB2312"/>
          <w:snapToGrid w:val="0"/>
          <w:color w:val="000000"/>
          <w:kern w:val="0"/>
          <w:sz w:val="24"/>
          <w:szCs w:val="23"/>
        </w:rPr>
        <w:t xml:space="preserve"> </w:t>
      </w:r>
    </w:p>
    <w:p w14:paraId="2DE8DBC3">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            </w:t>
      </w:r>
    </w:p>
    <w:p w14:paraId="59438D86">
      <w:pPr>
        <w:tabs>
          <w:tab w:val="right" w:pos="9070"/>
        </w:tabs>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指导教师（签字）：</w:t>
      </w:r>
      <w:r>
        <w:rPr>
          <w:rFonts w:hint="eastAsia" w:ascii="仿宋_GB2312" w:eastAsia="仿宋_GB2312"/>
          <w:snapToGrid w:val="0"/>
          <w:color w:val="000000"/>
          <w:kern w:val="0"/>
          <w:sz w:val="24"/>
          <w:szCs w:val="23"/>
        </w:rPr>
        <w:t xml:space="preserve">  </w:t>
      </w:r>
    </w:p>
    <w:p w14:paraId="0F9924AD">
      <w:pPr>
        <w:adjustRightInd w:val="0"/>
        <w:snapToGrid w:val="0"/>
        <w:spacing w:line="360" w:lineRule="auto"/>
        <w:ind w:left="4139" w:leftChars="1971" w:firstLine="2160" w:firstLineChars="900"/>
        <w:rPr>
          <w:rFonts w:ascii="仿宋_GB2312" w:eastAsia="仿宋_GB2312"/>
          <w:snapToGrid w:val="0"/>
          <w:color w:val="000000"/>
          <w:kern w:val="0"/>
          <w:sz w:val="24"/>
          <w:szCs w:val="23"/>
        </w:rPr>
      </w:pPr>
    </w:p>
    <w:p w14:paraId="0120AFE8">
      <w:pPr>
        <w:wordWrap w:val="0"/>
        <w:adjustRightInd w:val="0"/>
        <w:snapToGrid w:val="0"/>
        <w:spacing w:line="360" w:lineRule="auto"/>
        <w:ind w:left="4139" w:leftChars="1971" w:firstLine="2160" w:firstLineChars="900"/>
        <w:jc w:val="right"/>
        <w:rPr>
          <w:rFonts w:ascii="仿宋_GB2312" w:eastAsia="仿宋_GB2312"/>
          <w:snapToGrid w:val="0"/>
          <w:color w:val="000000"/>
          <w:kern w:val="0"/>
          <w:sz w:val="24"/>
          <w:szCs w:val="23"/>
        </w:rPr>
      </w:pPr>
      <w:r>
        <w:rPr>
          <w:rFonts w:ascii="仿宋_GB2312" w:hAnsi="仿宋_GB2312" w:eastAsia="仿宋_GB2312"/>
          <w:b w:val="0"/>
          <w:sz w:val="24"/>
        </w:rPr>
        <w:t>2026  年   10 月</w:t>
      </w:r>
    </w:p>
    <w:p w14:paraId="5E090D74">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1C56017F">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2A8428B9">
      <w:pPr>
        <w:adjustRightInd w:val="0"/>
        <w:snapToGrid w:val="0"/>
        <w:spacing w:line="360" w:lineRule="auto"/>
        <w:ind w:left="933" w:leftChars="1" w:hanging="931" w:hangingChars="388"/>
        <w:rPr>
          <w:rFonts w:ascii="仿宋_GB2312" w:eastAsia="仿宋_GB2312"/>
          <w:sz w:val="32"/>
        </w:rPr>
      </w:pPr>
      <w:r>
        <w:rPr>
          <w:rFonts w:hint="eastAsia" w:ascii="仿宋_GB2312" w:hAnsi="宋体" w:eastAsia="仿宋_GB2312"/>
          <w:snapToGrid w:val="0"/>
          <w:color w:val="000000"/>
          <w:kern w:val="0"/>
          <w:sz w:val="24"/>
          <w:szCs w:val="23"/>
        </w:rPr>
        <w:t>说明</w:t>
      </w:r>
      <w:r>
        <w:rPr>
          <w:rFonts w:hint="eastAsia" w:ascii="仿宋_GB2312" w:eastAsia="仿宋_GB2312"/>
          <w:snapToGrid w:val="0"/>
          <w:color w:val="000000"/>
          <w:kern w:val="0"/>
          <w:sz w:val="24"/>
          <w:szCs w:val="23"/>
        </w:rPr>
        <w:t xml:space="preserve">：  </w:t>
      </w:r>
      <w:r>
        <w:rPr>
          <w:rFonts w:hint="eastAsia" w:ascii="仿宋_GB2312" w:hAnsi="宋体" w:eastAsia="仿宋_GB2312"/>
          <w:snapToGrid w:val="0"/>
          <w:color w:val="000000"/>
          <w:kern w:val="0"/>
          <w:sz w:val="24"/>
          <w:szCs w:val="23"/>
        </w:rPr>
        <w:t>本承诺书是华东理工大学“大学生创新创业训练计划”项目管理和经费划拨的依据。</w:t>
      </w:r>
    </w:p>
    <w:sectPr>
      <w:headerReference r:id="rId5" w:type="default"/>
      <w:footerReference r:id="rId6" w:type="default"/>
      <w:footerReference r:id="rId7" w:type="even"/>
      <w:footnotePr>
        <w:numFmt w:val="decimal"/>
        <w:numRestart w:val="eachPage"/>
      </w:footnotePr>
      <w:pgSz w:w="11906" w:h="16838"/>
      <w:pgMar w:top="1134" w:right="1418" w:bottom="1134" w:left="1418"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仿宋_GB2312">
    <w:altName w:val="Times New Roman"/>
    <w:panose1 w:val="020B0604020202020204"/>
    <w:charset w:val="86"/>
    <w:family w:val="modern"/>
    <w:pitch w:val="default"/>
    <w:sig w:usb0="00000000" w:usb1="00000000" w:usb2="0000001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方正粗宋简体">
    <w:altName w:val="汉仪书宋二KW"/>
    <w:panose1 w:val="020B0604020202020204"/>
    <w:charset w:val="86"/>
    <w:family w:val="script"/>
    <w:pitch w:val="default"/>
    <w:sig w:usb0="00000000" w:usb1="00000000" w:usb2="00000010" w:usb3="00000000" w:csb0="00040000" w:csb1="00000000"/>
  </w:font>
  <w:font w:name="楷体_GB2312">
    <w:altName w:val="汉仪楷体KW"/>
    <w:panose1 w:val="020B0604020202020204"/>
    <w:charset w:val="86"/>
    <w:family w:val="modern"/>
    <w:pitch w:val="default"/>
    <w:sig w:usb0="00000000" w:usb1="00000000" w:usb2="00000010" w:usb3="00000000" w:csb0="00040000" w:csb1="00000000"/>
  </w:font>
  <w:font w:name="汉仪楷体KW">
    <w:panose1 w:val="00020600040101010101"/>
    <w:charset w:val="86"/>
    <w:family w:val="auto"/>
    <w:pitch w:val="default"/>
    <w:sig w:usb0="A00002BF" w:usb1="18EF7CFA" w:usb2="00000016" w:usb3="00000000" w:csb0="00040000" w:csb1="00000000"/>
  </w:font>
  <w:font w:name="GulimChe">
    <w:altName w:val="汉仪书宋二KW"/>
    <w:panose1 w:val="020B0609000101010101"/>
    <w:charset w:val="81"/>
    <w:family w:val="modern"/>
    <w:pitch w:val="default"/>
    <w:sig w:usb0="00000000" w:usb1="00000000" w:usb2="00000030" w:usb3="00000000" w:csb0="0008009F"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隶书">
    <w:panose1 w:val="02010800040101010101"/>
    <w:charset w:val="86"/>
    <w:family w:val="auto"/>
    <w:pitch w:val="default"/>
    <w:sig w:usb0="00000001" w:usb1="080F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仿宋_GB2312">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FAC63">
    <w:pPr>
      <w:pStyle w:val="10"/>
      <w:framePr w:wrap="around" w:vAnchor="text" w:hAnchor="margin" w:xAlign="center" w:y="1"/>
      <w:rPr>
        <w:rStyle w:val="20"/>
      </w:rPr>
    </w:pPr>
    <w:r>
      <w:fldChar w:fldCharType="begin"/>
    </w:r>
    <w:r>
      <w:rPr>
        <w:rStyle w:val="20"/>
      </w:rPr>
      <w:instrText xml:space="preserve">PAGE  </w:instrText>
    </w:r>
    <w:r>
      <w:fldChar w:fldCharType="separate"/>
    </w:r>
    <w:r>
      <w:rPr>
        <w:rStyle w:val="20"/>
      </w:rPr>
      <w:t>- 8 -</w:t>
    </w:r>
    <w:r>
      <w:fldChar w:fldCharType="end"/>
    </w:r>
  </w:p>
  <w:p w14:paraId="07452B3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65424">
    <w:pPr>
      <w:pStyle w:val="10"/>
      <w:framePr w:wrap="around" w:vAnchor="text" w:hAnchor="margin" w:xAlign="center" w:y="1"/>
      <w:rPr>
        <w:rStyle w:val="20"/>
      </w:rPr>
    </w:pPr>
    <w:r>
      <w:fldChar w:fldCharType="begin"/>
    </w:r>
    <w:r>
      <w:rPr>
        <w:rStyle w:val="20"/>
      </w:rPr>
      <w:instrText xml:space="preserve">PAGE  </w:instrText>
    </w:r>
    <w:r>
      <w:fldChar w:fldCharType="end"/>
    </w:r>
  </w:p>
  <w:p w14:paraId="6AA6E3CF">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2A8C">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CAC8B"/>
    <w:multiLevelType w:val="singleLevel"/>
    <w:tmpl w:val="DFDCAC8B"/>
    <w:lvl w:ilvl="0" w:tentative="0">
      <w:start w:val="1"/>
      <w:numFmt w:val="decimal"/>
      <w:suff w:val="nothing"/>
      <w:lvlText w:val="%1、"/>
      <w:lvlJc w:val="left"/>
    </w:lvl>
  </w:abstractNum>
  <w:abstractNum w:abstractNumId="1">
    <w:nsid w:val="5DFE3308"/>
    <w:multiLevelType w:val="singleLevel"/>
    <w:tmpl w:val="5DFE3308"/>
    <w:lvl w:ilvl="0" w:tentative="0">
      <w:start w:val="1"/>
      <w:numFmt w:val="decimal"/>
      <w:suff w:val="nothing"/>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97344446">
    <w15:presenceInfo w15:providerId="WPS Office" w15:userId="14285895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D8F"/>
    <w:rsid w:val="0002542D"/>
    <w:rsid w:val="000335FC"/>
    <w:rsid w:val="00034561"/>
    <w:rsid w:val="00041EE6"/>
    <w:rsid w:val="00070B9F"/>
    <w:rsid w:val="00073EB2"/>
    <w:rsid w:val="00083E2C"/>
    <w:rsid w:val="0008503F"/>
    <w:rsid w:val="00093D89"/>
    <w:rsid w:val="00097B76"/>
    <w:rsid w:val="000F6421"/>
    <w:rsid w:val="001251EE"/>
    <w:rsid w:val="00143417"/>
    <w:rsid w:val="001860F0"/>
    <w:rsid w:val="00187907"/>
    <w:rsid w:val="001B0A9C"/>
    <w:rsid w:val="001B2B19"/>
    <w:rsid w:val="00206B1A"/>
    <w:rsid w:val="00273B87"/>
    <w:rsid w:val="002C1C3A"/>
    <w:rsid w:val="002E54F4"/>
    <w:rsid w:val="00327E36"/>
    <w:rsid w:val="0036748C"/>
    <w:rsid w:val="00372A01"/>
    <w:rsid w:val="003742C8"/>
    <w:rsid w:val="00387ECA"/>
    <w:rsid w:val="003A5CDA"/>
    <w:rsid w:val="003B1BC8"/>
    <w:rsid w:val="003C118E"/>
    <w:rsid w:val="003D114A"/>
    <w:rsid w:val="003F5B23"/>
    <w:rsid w:val="00496078"/>
    <w:rsid w:val="00496C1C"/>
    <w:rsid w:val="004B1695"/>
    <w:rsid w:val="004F6297"/>
    <w:rsid w:val="0055057E"/>
    <w:rsid w:val="0056753C"/>
    <w:rsid w:val="00572A84"/>
    <w:rsid w:val="005B532C"/>
    <w:rsid w:val="005B7DE8"/>
    <w:rsid w:val="005F7F6B"/>
    <w:rsid w:val="00610FB7"/>
    <w:rsid w:val="00625803"/>
    <w:rsid w:val="00627D15"/>
    <w:rsid w:val="00633810"/>
    <w:rsid w:val="00646085"/>
    <w:rsid w:val="00646D88"/>
    <w:rsid w:val="006529D4"/>
    <w:rsid w:val="00682ED3"/>
    <w:rsid w:val="006A30B7"/>
    <w:rsid w:val="006A761A"/>
    <w:rsid w:val="006E2A17"/>
    <w:rsid w:val="00730C81"/>
    <w:rsid w:val="007337EA"/>
    <w:rsid w:val="00736938"/>
    <w:rsid w:val="007850DD"/>
    <w:rsid w:val="00795C44"/>
    <w:rsid w:val="007A68F5"/>
    <w:rsid w:val="007D10ED"/>
    <w:rsid w:val="007F458B"/>
    <w:rsid w:val="00814F55"/>
    <w:rsid w:val="00823B15"/>
    <w:rsid w:val="00831DC7"/>
    <w:rsid w:val="00883DA1"/>
    <w:rsid w:val="008E2D8F"/>
    <w:rsid w:val="008F3C87"/>
    <w:rsid w:val="00943E1A"/>
    <w:rsid w:val="009556E1"/>
    <w:rsid w:val="00963DE8"/>
    <w:rsid w:val="0098682A"/>
    <w:rsid w:val="009C11F5"/>
    <w:rsid w:val="00A02C7B"/>
    <w:rsid w:val="00A04A0D"/>
    <w:rsid w:val="00A32F87"/>
    <w:rsid w:val="00A35640"/>
    <w:rsid w:val="00A44665"/>
    <w:rsid w:val="00A52025"/>
    <w:rsid w:val="00A537A5"/>
    <w:rsid w:val="00A7681D"/>
    <w:rsid w:val="00A80EEB"/>
    <w:rsid w:val="00A8700B"/>
    <w:rsid w:val="00AA6BFE"/>
    <w:rsid w:val="00AB5EB3"/>
    <w:rsid w:val="00AD58F8"/>
    <w:rsid w:val="00AF624A"/>
    <w:rsid w:val="00B11593"/>
    <w:rsid w:val="00B14222"/>
    <w:rsid w:val="00B22A6C"/>
    <w:rsid w:val="00B22C2D"/>
    <w:rsid w:val="00B236AD"/>
    <w:rsid w:val="00B715B0"/>
    <w:rsid w:val="00B724C5"/>
    <w:rsid w:val="00B752E0"/>
    <w:rsid w:val="00BB3BA2"/>
    <w:rsid w:val="00BC43A9"/>
    <w:rsid w:val="00BD4122"/>
    <w:rsid w:val="00BD627A"/>
    <w:rsid w:val="00BF3585"/>
    <w:rsid w:val="00C074B5"/>
    <w:rsid w:val="00C44679"/>
    <w:rsid w:val="00C47A26"/>
    <w:rsid w:val="00C47F25"/>
    <w:rsid w:val="00C71105"/>
    <w:rsid w:val="00C9263C"/>
    <w:rsid w:val="00C97BE0"/>
    <w:rsid w:val="00CA3499"/>
    <w:rsid w:val="00CB03A3"/>
    <w:rsid w:val="00CB06AC"/>
    <w:rsid w:val="00CE2151"/>
    <w:rsid w:val="00D30FB5"/>
    <w:rsid w:val="00D60B67"/>
    <w:rsid w:val="00DB2041"/>
    <w:rsid w:val="00DB74AE"/>
    <w:rsid w:val="00DC4283"/>
    <w:rsid w:val="00DD6847"/>
    <w:rsid w:val="00DE0D70"/>
    <w:rsid w:val="00DF1E7F"/>
    <w:rsid w:val="00EB3B95"/>
    <w:rsid w:val="00EF3375"/>
    <w:rsid w:val="00F822AB"/>
    <w:rsid w:val="00FE5F1D"/>
    <w:rsid w:val="00FF51CD"/>
    <w:rsid w:val="0714263E"/>
    <w:rsid w:val="0BAC86DC"/>
    <w:rsid w:val="0D8701C6"/>
    <w:rsid w:val="1AFF793B"/>
    <w:rsid w:val="1E9D18DD"/>
    <w:rsid w:val="1FFE54BA"/>
    <w:rsid w:val="1FFF66C4"/>
    <w:rsid w:val="21DB58AF"/>
    <w:rsid w:val="2220579D"/>
    <w:rsid w:val="285FE06B"/>
    <w:rsid w:val="2A7BCD8C"/>
    <w:rsid w:val="2B9B9488"/>
    <w:rsid w:val="2BEBDF3E"/>
    <w:rsid w:val="2E5C7F83"/>
    <w:rsid w:val="2FFF8F50"/>
    <w:rsid w:val="34382EF5"/>
    <w:rsid w:val="34BE2AD3"/>
    <w:rsid w:val="36FB232F"/>
    <w:rsid w:val="374F1DF3"/>
    <w:rsid w:val="392C35FE"/>
    <w:rsid w:val="3ADE8BA6"/>
    <w:rsid w:val="3AFF876D"/>
    <w:rsid w:val="3B7F639B"/>
    <w:rsid w:val="3BD5BBAD"/>
    <w:rsid w:val="3BFE5246"/>
    <w:rsid w:val="3DBA7A2F"/>
    <w:rsid w:val="3DFBBC1F"/>
    <w:rsid w:val="3E81B516"/>
    <w:rsid w:val="3F8BFBB6"/>
    <w:rsid w:val="3FAE31B9"/>
    <w:rsid w:val="3FBDBB3D"/>
    <w:rsid w:val="3FBFFBD0"/>
    <w:rsid w:val="3FDF3177"/>
    <w:rsid w:val="3FEAE312"/>
    <w:rsid w:val="3FF397EC"/>
    <w:rsid w:val="45EB30D3"/>
    <w:rsid w:val="48D77D78"/>
    <w:rsid w:val="48F37A43"/>
    <w:rsid w:val="4B1C7B4A"/>
    <w:rsid w:val="4BA65662"/>
    <w:rsid w:val="4BFF1F3A"/>
    <w:rsid w:val="4DF7894B"/>
    <w:rsid w:val="4E9C3B15"/>
    <w:rsid w:val="4EE78784"/>
    <w:rsid w:val="4EFD6B0E"/>
    <w:rsid w:val="4F57EB53"/>
    <w:rsid w:val="4FFF30AA"/>
    <w:rsid w:val="513DD22D"/>
    <w:rsid w:val="55B2950C"/>
    <w:rsid w:val="55F6F0D5"/>
    <w:rsid w:val="588516BA"/>
    <w:rsid w:val="597DE035"/>
    <w:rsid w:val="59FF1014"/>
    <w:rsid w:val="5B9F8520"/>
    <w:rsid w:val="5BDE7F40"/>
    <w:rsid w:val="5BFF7D07"/>
    <w:rsid w:val="5D190116"/>
    <w:rsid w:val="5D7D1AB7"/>
    <w:rsid w:val="5EF791BE"/>
    <w:rsid w:val="5EFB182D"/>
    <w:rsid w:val="5EFE47D2"/>
    <w:rsid w:val="5F91E8E8"/>
    <w:rsid w:val="5FBFEE01"/>
    <w:rsid w:val="5FDFEF2D"/>
    <w:rsid w:val="600354F2"/>
    <w:rsid w:val="63FF6BF4"/>
    <w:rsid w:val="65E25799"/>
    <w:rsid w:val="67D95045"/>
    <w:rsid w:val="67EB07E5"/>
    <w:rsid w:val="67F4DA10"/>
    <w:rsid w:val="67F67A48"/>
    <w:rsid w:val="6BDE6C40"/>
    <w:rsid w:val="6CD963E3"/>
    <w:rsid w:val="6CFBE148"/>
    <w:rsid w:val="6DF98851"/>
    <w:rsid w:val="6DFC31A6"/>
    <w:rsid w:val="6DFFDD2E"/>
    <w:rsid w:val="6EF6C618"/>
    <w:rsid w:val="6F9FC1B5"/>
    <w:rsid w:val="6FB04005"/>
    <w:rsid w:val="6FCE16C5"/>
    <w:rsid w:val="6FDD5BD5"/>
    <w:rsid w:val="6FFC4543"/>
    <w:rsid w:val="713F3528"/>
    <w:rsid w:val="715E578D"/>
    <w:rsid w:val="73AF2C6C"/>
    <w:rsid w:val="73FFFC39"/>
    <w:rsid w:val="75D937F1"/>
    <w:rsid w:val="75F7E109"/>
    <w:rsid w:val="77671D7C"/>
    <w:rsid w:val="77BF02BD"/>
    <w:rsid w:val="77CFEB36"/>
    <w:rsid w:val="77FD58E7"/>
    <w:rsid w:val="77FE1D6C"/>
    <w:rsid w:val="79DF7840"/>
    <w:rsid w:val="79F688C2"/>
    <w:rsid w:val="7AEFBA30"/>
    <w:rsid w:val="7B5E859C"/>
    <w:rsid w:val="7B6FCDF4"/>
    <w:rsid w:val="7B874A43"/>
    <w:rsid w:val="7BCFECF3"/>
    <w:rsid w:val="7BDFDC20"/>
    <w:rsid w:val="7BEF91A3"/>
    <w:rsid w:val="7BF7EAE8"/>
    <w:rsid w:val="7BFBFD73"/>
    <w:rsid w:val="7C6D8E58"/>
    <w:rsid w:val="7CF7C945"/>
    <w:rsid w:val="7D1D09AA"/>
    <w:rsid w:val="7D83B9A9"/>
    <w:rsid w:val="7DABD1C3"/>
    <w:rsid w:val="7DD532F2"/>
    <w:rsid w:val="7DE725D8"/>
    <w:rsid w:val="7EBE5227"/>
    <w:rsid w:val="7EFF002F"/>
    <w:rsid w:val="7F2FA83D"/>
    <w:rsid w:val="7F5FF133"/>
    <w:rsid w:val="7F6EB37A"/>
    <w:rsid w:val="7F8314DB"/>
    <w:rsid w:val="7FBFAA0D"/>
    <w:rsid w:val="7FDFAAD3"/>
    <w:rsid w:val="7FE7BF8D"/>
    <w:rsid w:val="7FF3BFA2"/>
    <w:rsid w:val="7FF66588"/>
    <w:rsid w:val="7FF7CD70"/>
    <w:rsid w:val="7FFBB598"/>
    <w:rsid w:val="7FFCC087"/>
    <w:rsid w:val="7FFD2140"/>
    <w:rsid w:val="7FFEADFA"/>
    <w:rsid w:val="7FFFA63B"/>
    <w:rsid w:val="8D7DEF8E"/>
    <w:rsid w:val="92DFB9D2"/>
    <w:rsid w:val="93FE209D"/>
    <w:rsid w:val="975A63D8"/>
    <w:rsid w:val="A565D13E"/>
    <w:rsid w:val="AB5EF868"/>
    <w:rsid w:val="B55FF308"/>
    <w:rsid w:val="B6FCF7F3"/>
    <w:rsid w:val="B7AD03C7"/>
    <w:rsid w:val="B7F73E21"/>
    <w:rsid w:val="B8BDD585"/>
    <w:rsid w:val="B8DF3AA6"/>
    <w:rsid w:val="B9DFBC6B"/>
    <w:rsid w:val="BB7D36CA"/>
    <w:rsid w:val="BBAF03B8"/>
    <w:rsid w:val="BDED5E1C"/>
    <w:rsid w:val="BDF1C0AD"/>
    <w:rsid w:val="BEDE7A65"/>
    <w:rsid w:val="BFA36EEC"/>
    <w:rsid w:val="BFBFA5D7"/>
    <w:rsid w:val="BFFF89FD"/>
    <w:rsid w:val="C789145B"/>
    <w:rsid w:val="CF5E5EC1"/>
    <w:rsid w:val="CFEEC0C9"/>
    <w:rsid w:val="D6ECCE29"/>
    <w:rsid w:val="D7FF46D7"/>
    <w:rsid w:val="DACF41EF"/>
    <w:rsid w:val="DCDD5CC8"/>
    <w:rsid w:val="DDE6D634"/>
    <w:rsid w:val="DDFF21FF"/>
    <w:rsid w:val="DEC666BA"/>
    <w:rsid w:val="DED39930"/>
    <w:rsid w:val="DF36A57D"/>
    <w:rsid w:val="DF66B7B9"/>
    <w:rsid w:val="DF6AE75D"/>
    <w:rsid w:val="DF73DE55"/>
    <w:rsid w:val="DFFD39EC"/>
    <w:rsid w:val="DFFFECE2"/>
    <w:rsid w:val="E5D55634"/>
    <w:rsid w:val="E77F189A"/>
    <w:rsid w:val="E7AA86A4"/>
    <w:rsid w:val="E7D44B82"/>
    <w:rsid w:val="E7FF4545"/>
    <w:rsid w:val="E9FF04A2"/>
    <w:rsid w:val="EB1FAFA9"/>
    <w:rsid w:val="EB3FD2A7"/>
    <w:rsid w:val="EBEDE08C"/>
    <w:rsid w:val="EE76769B"/>
    <w:rsid w:val="EEB5979D"/>
    <w:rsid w:val="EEFD7C37"/>
    <w:rsid w:val="EF7F4CB6"/>
    <w:rsid w:val="EF960C7A"/>
    <w:rsid w:val="EFDF73EE"/>
    <w:rsid w:val="EFDF8532"/>
    <w:rsid w:val="EFFE4EE1"/>
    <w:rsid w:val="EFFEE3FA"/>
    <w:rsid w:val="EFFFA9A6"/>
    <w:rsid w:val="F29A2584"/>
    <w:rsid w:val="F42FACAA"/>
    <w:rsid w:val="F59EB532"/>
    <w:rsid w:val="F5ECE6F9"/>
    <w:rsid w:val="F64CA1D3"/>
    <w:rsid w:val="F6F35431"/>
    <w:rsid w:val="F6FB6076"/>
    <w:rsid w:val="F6FB8C28"/>
    <w:rsid w:val="F77BF6C2"/>
    <w:rsid w:val="F7AEC97C"/>
    <w:rsid w:val="F7BF8A5C"/>
    <w:rsid w:val="F7D760F9"/>
    <w:rsid w:val="F7EE5585"/>
    <w:rsid w:val="F9BC83D9"/>
    <w:rsid w:val="F9F84EB5"/>
    <w:rsid w:val="F9FEB134"/>
    <w:rsid w:val="FA6DADF0"/>
    <w:rsid w:val="FAD78939"/>
    <w:rsid w:val="FAE5F7EC"/>
    <w:rsid w:val="FAFF77CA"/>
    <w:rsid w:val="FB368722"/>
    <w:rsid w:val="FBBDBD33"/>
    <w:rsid w:val="FBD349A1"/>
    <w:rsid w:val="FBFF9DF0"/>
    <w:rsid w:val="FBFFE76B"/>
    <w:rsid w:val="FC357D3B"/>
    <w:rsid w:val="FC4D2713"/>
    <w:rsid w:val="FD2B185F"/>
    <w:rsid w:val="FD35A838"/>
    <w:rsid w:val="FD7DF198"/>
    <w:rsid w:val="FDAFE2F1"/>
    <w:rsid w:val="FDB7B370"/>
    <w:rsid w:val="FDBE3253"/>
    <w:rsid w:val="FDBE44B5"/>
    <w:rsid w:val="FDCFD31F"/>
    <w:rsid w:val="FDD7A8F3"/>
    <w:rsid w:val="FDE7F0CE"/>
    <w:rsid w:val="FDEF9BAC"/>
    <w:rsid w:val="FE0F5857"/>
    <w:rsid w:val="FEF7FB5E"/>
    <w:rsid w:val="FEFFE11B"/>
    <w:rsid w:val="FF374E62"/>
    <w:rsid w:val="FF3F62EC"/>
    <w:rsid w:val="FF5D06E4"/>
    <w:rsid w:val="FF659738"/>
    <w:rsid w:val="FF6B5959"/>
    <w:rsid w:val="FF9F1E5A"/>
    <w:rsid w:val="FFA962FF"/>
    <w:rsid w:val="FFBF8D9F"/>
    <w:rsid w:val="FFCD3FA3"/>
    <w:rsid w:val="FFD5A2B0"/>
    <w:rsid w:val="FFEF7216"/>
    <w:rsid w:val="FFF3BFEC"/>
    <w:rsid w:val="FFFF5E79"/>
    <w:rsid w:val="FFFF7712"/>
    <w:rsid w:val="FFFFA9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Document Map"/>
    <w:basedOn w:val="1"/>
    <w:link w:val="25"/>
    <w:qFormat/>
    <w:uiPriority w:val="0"/>
    <w:rPr>
      <w:rFonts w:ascii="宋体"/>
      <w:sz w:val="18"/>
      <w:szCs w:val="18"/>
    </w:rPr>
  </w:style>
  <w:style w:type="paragraph" w:styleId="5">
    <w:name w:val="annotation text"/>
    <w:basedOn w:val="1"/>
    <w:qFormat/>
    <w:uiPriority w:val="0"/>
    <w:pPr>
      <w:jc w:val="left"/>
    </w:pPr>
  </w:style>
  <w:style w:type="paragraph" w:styleId="6">
    <w:name w:val="Body Text Indent"/>
    <w:basedOn w:val="1"/>
    <w:qFormat/>
    <w:uiPriority w:val="0"/>
    <w:pPr>
      <w:ind w:firstLine="412" w:firstLineChars="196"/>
    </w:pPr>
    <w:rPr>
      <w:bCs/>
    </w:rPr>
  </w:style>
  <w:style w:type="paragraph" w:styleId="7">
    <w:name w:val="Date"/>
    <w:basedOn w:val="1"/>
    <w:next w:val="1"/>
    <w:qFormat/>
    <w:uiPriority w:val="0"/>
    <w:pPr>
      <w:ind w:left="100" w:leftChars="2500"/>
    </w:pPr>
    <w:rPr>
      <w:rFonts w:eastAsia="华文楷体"/>
      <w:sz w:val="28"/>
    </w:rPr>
  </w:style>
  <w:style w:type="paragraph" w:styleId="8">
    <w:name w:val="Body Text Indent 2"/>
    <w:basedOn w:val="1"/>
    <w:qFormat/>
    <w:uiPriority w:val="0"/>
    <w:pPr>
      <w:ind w:left="8" w:leftChars="4" w:firstLine="420" w:firstLineChars="200"/>
    </w:pPr>
    <w:rPr>
      <w:rFonts w:ascii="宋体" w:hAnsi="宋体"/>
      <w:szCs w:val="21"/>
    </w:r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4"/>
    <w:qFormat/>
    <w:uiPriority w:val="0"/>
    <w:pPr>
      <w:snapToGrid w:val="0"/>
      <w:jc w:val="left"/>
    </w:pPr>
    <w:rPr>
      <w:sz w:val="18"/>
    </w:rPr>
  </w:style>
  <w:style w:type="paragraph" w:styleId="13">
    <w:name w:val="Body Text Indent 3"/>
    <w:basedOn w:val="1"/>
    <w:qFormat/>
    <w:uiPriority w:val="0"/>
    <w:pPr>
      <w:ind w:left="718" w:leftChars="342"/>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qFormat/>
    <w:uiPriority w:val="0"/>
    <w:rPr>
      <w:b/>
      <w:bCs/>
    </w:rPr>
  </w:style>
  <w:style w:type="character" w:styleId="20">
    <w:name w:val="page number"/>
    <w:qFormat/>
    <w:uiPriority w:val="0"/>
  </w:style>
  <w:style w:type="character" w:styleId="21">
    <w:name w:val="Emphasis"/>
    <w:basedOn w:val="18"/>
    <w:qFormat/>
    <w:uiPriority w:val="0"/>
    <w:rPr>
      <w:i/>
    </w:rPr>
  </w:style>
  <w:style w:type="character" w:styleId="22">
    <w:name w:val="Hyperlink"/>
    <w:qFormat/>
    <w:uiPriority w:val="0"/>
    <w:rPr>
      <w:color w:val="333333"/>
      <w:u w:val="none"/>
    </w:rPr>
  </w:style>
  <w:style w:type="character" w:styleId="23">
    <w:name w:val="footnote reference"/>
    <w:basedOn w:val="18"/>
    <w:qFormat/>
    <w:uiPriority w:val="0"/>
    <w:rPr>
      <w:vertAlign w:val="superscript"/>
    </w:rPr>
  </w:style>
  <w:style w:type="character" w:customStyle="1" w:styleId="24">
    <w:name w:val="标题 2 字符"/>
    <w:link w:val="3"/>
    <w:qFormat/>
    <w:uiPriority w:val="0"/>
    <w:rPr>
      <w:rFonts w:ascii="Arial" w:hAnsi="Arial" w:eastAsia="黑体"/>
      <w:b/>
      <w:bCs/>
      <w:kern w:val="2"/>
      <w:sz w:val="32"/>
      <w:szCs w:val="32"/>
    </w:rPr>
  </w:style>
  <w:style w:type="character" w:customStyle="1" w:styleId="25">
    <w:name w:val="文档结构图 字符"/>
    <w:link w:val="4"/>
    <w:qFormat/>
    <w:uiPriority w:val="0"/>
    <w:rPr>
      <w:rFonts w:ascii="宋体"/>
      <w:kern w:val="2"/>
      <w:sz w:val="18"/>
      <w:szCs w:val="18"/>
    </w:rPr>
  </w:style>
  <w:style w:type="character" w:customStyle="1" w:styleId="26">
    <w:name w:val="Char Char1"/>
    <w:qFormat/>
    <w:uiPriority w:val="0"/>
    <w:rPr>
      <w:kern w:val="2"/>
      <w:sz w:val="18"/>
      <w:szCs w:val="18"/>
    </w:rPr>
  </w:style>
  <w:style w:type="character" w:customStyle="1" w:styleId="27">
    <w:name w:val="样式 正文缩进 + 仿宋_GB2312 Char"/>
    <w:qFormat/>
    <w:uiPriority w:val="0"/>
    <w:rPr>
      <w:rFonts w:ascii="仿宋_GB2312" w:hAnsi="仿宋_GB2312" w:eastAsia="仿宋_GB2312"/>
      <w:kern w:val="2"/>
      <w:sz w:val="28"/>
      <w:szCs w:val="24"/>
      <w:lang w:val="en-US" w:eastAsia="zh-CN" w:bidi="ar-SA"/>
    </w:rPr>
  </w:style>
  <w:style w:type="character" w:customStyle="1" w:styleId="28">
    <w:name w:val="Char Char"/>
    <w:qFormat/>
    <w:uiPriority w:val="0"/>
    <w:rPr>
      <w:kern w:val="2"/>
      <w:sz w:val="18"/>
      <w:szCs w:val="18"/>
    </w:rPr>
  </w:style>
  <w:style w:type="character" w:customStyle="1" w:styleId="29">
    <w:name w:val="style31"/>
    <w:qFormat/>
    <w:uiPriority w:val="0"/>
    <w:rPr>
      <w:color w:val="000000"/>
    </w:rPr>
  </w:style>
  <w:style w:type="paragraph" w:customStyle="1" w:styleId="30">
    <w:name w:val="样式 样式 表格标题 + Times New Roman 行距: 多倍行距 1.4 字行 + 段前: 0.5 行 段后: 0...."/>
    <w:basedOn w:val="1"/>
    <w:qFormat/>
    <w:uiPriority w:val="0"/>
    <w:pPr>
      <w:spacing w:before="120" w:beforeLines="50" w:after="120" w:afterLines="50"/>
      <w:jc w:val="center"/>
    </w:pPr>
    <w:rPr>
      <w:rFonts w:eastAsia="黑体" w:cs="宋体"/>
      <w:sz w:val="24"/>
      <w:szCs w:val="20"/>
    </w:rPr>
  </w:style>
  <w:style w:type="character" w:customStyle="1" w:styleId="31">
    <w:name w:val="标题 1 字符"/>
    <w:link w:val="2"/>
    <w:qFormat/>
    <w:uiPriority w:val="0"/>
    <w:rPr>
      <w:b/>
      <w:bCs/>
      <w:kern w:val="44"/>
      <w:sz w:val="44"/>
      <w:szCs w:val="44"/>
    </w:rPr>
  </w:style>
  <w:style w:type="character" w:customStyle="1" w:styleId="32">
    <w:name w:val="Unresolved Mention"/>
    <w:semiHidden/>
    <w:unhideWhenUsed/>
    <w:qFormat/>
    <w:uiPriority w:val="99"/>
    <w:rPr>
      <w:color w:val="605E5C"/>
      <w:shd w:val="clear" w:color="auto" w:fill="E1DFDD"/>
    </w:rPr>
  </w:style>
  <w:style w:type="character" w:customStyle="1" w:styleId="33">
    <w:name w:val="页眉 Char"/>
    <w:link w:val="11"/>
    <w:qFormat/>
    <w:uiPriority w:val="0"/>
    <w:rPr>
      <w:sz w:val="18"/>
      <w:szCs w:val="18"/>
    </w:rPr>
  </w:style>
  <w:style w:type="character" w:customStyle="1" w:styleId="34">
    <w:name w:val="脚注文本 Char"/>
    <w:link w:val="12"/>
    <w:qFormat/>
    <w:uiPriority w:val="0"/>
    <w:rPr>
      <w:sz w:val="18"/>
    </w:rPr>
  </w:style>
  <w:style w:type="character" w:customStyle="1" w:styleId="35">
    <w:name w:val="15"/>
    <w:basedOn w:val="18"/>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 Id="rId3" Type="http://schemas.openxmlformats.org/officeDocument/2006/relationships/image" Target="media/image4.pn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Company>番茄花园</Company>
  <Pages>26</Pages>
  <Words>11165</Words>
  <Characters>11898</Characters>
  <Lines>1</Lines>
  <Paragraphs>1</Paragraphs>
  <TotalTime>47</TotalTime>
  <ScaleCrop>false</ScaleCrop>
  <LinksUpToDate>false</LinksUpToDate>
  <CharactersWithSpaces>12158</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2026-04-11T12:26:00Z</dcterms:created>
  <dc:creator>张文超、张博文</dc:creator>
  <cp:lastModifiedBy>吴涵</cp:lastModifiedBy>
  <cp:lastPrinted>2009-10-13T06:31:00Z</cp:lastPrinted>
  <dcterms:modified xsi:type="dcterms:W3CDTF">2026-10-20T04:13:43Z</dcterms:modified>
  <dc:subject>大学生创新创业训练计划项目申报书</dc:subject>
  <dc:title>“智驱思阅”——基于Agent驱动的哲学社科辅助阅读工具开发与应用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ICV">
    <vt:lpwstr>A612EB9148A783CFF779D66A4D055E55_43</vt:lpwstr>
  </property>
  <property fmtid="{D5CDD505-2E9C-101B-9397-08002B2CF9AE}" pid="4" name="KSOTemplateDocerSaveRecord">
    <vt:lpwstr>eyJoZGlkIjoiYWMxNzNiZGFjYmIxYmQ2YjkwNmQwOWFjNDZkYWRmZjYiLCJ1c2VySWQiOiIxNzg5MTc0MjM2In0=</vt:lpwstr>
  </property>
</Properties>
</file>