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9"/>
            <w:bookmarkStart w:id="1" w:name="OLE_LINK10"/>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朱灵</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keepNext/>
        <w:keepLines/>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朱灵</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keepNext/>
        <w:keepLines/>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keepNext/>
              <w:keepLines/>
              <w:rPr>
                <w:b/>
                <w:sz w:val="24"/>
              </w:rPr>
            </w:pPr>
            <w:r>
              <w:rPr>
                <w:rFonts w:hint="eastAsia"/>
                <w:sz w:val="22"/>
                <w:szCs w:val="22"/>
              </w:rPr>
            </w:r>
            <w:r>
              <w:rPr>
                <w:rFonts w:hint="eastAsia"/>
                <w:b/>
                <w:sz w:val="24"/>
              </w:rPr>
              <w:t>项</w:t>
            </w:r>
          </w:p>
          <w:p w14:paraId="5D3BAE68">
            <w:pPr>
              <w:keepNext/>
              <w:keepLines/>
              <w:rPr>
                <w:b/>
                <w:sz w:val="24"/>
              </w:rPr>
            </w:pPr>
            <w:r>
              <w:rPr>
                <w:rFonts w:hint="eastAsia"/>
                <w:b/>
                <w:sz w:val="24"/>
              </w:rPr>
              <w:t>目</w:t>
            </w:r>
          </w:p>
          <w:p w14:paraId="559EC444">
            <w:pPr>
              <w:keepNext/>
              <w:keepLines/>
              <w:rPr>
                <w:b/>
                <w:sz w:val="24"/>
              </w:rPr>
            </w:pPr>
            <w:r>
              <w:rPr>
                <w:rFonts w:hint="eastAsia"/>
                <w:b/>
                <w:sz w:val="24"/>
              </w:rPr>
              <w:t>背景和</w:t>
            </w:r>
          </w:p>
          <w:p w14:paraId="46DC418A">
            <w:pPr>
              <w:keepLines/>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主要依据检索、生成、评估等功能类型划分角色，较少围绕全书、章节、段落和概念的阅读任务组织协作，难以支持哲学社会科学文本的多维度深度理解。</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4B87262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14:paraId="7C8A5CC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和阅读负担；同时为数字人文工具的设计提供一个“Agent执行、证据约束、读者复核”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keepLines/>
              <w:rPr>
                <w:b/>
                <w:sz w:val="24"/>
              </w:rPr>
            </w:pPr>
            <w:r>
              <w:rPr>
                <w:rFonts w:hint="eastAsia"/>
                <w:sz w:val="22"/>
                <w:szCs w:val="22"/>
              </w:rPr>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项目团队由社会与公共管理学院学生组成，经过一年的课程学习、自主阅读和项目实践，接受过哲学社会科学阅读、社会科学研究方法和公共管理学科的基础训练。</w:t>
            </w:r>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（1）</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（2）</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（3）</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（4）</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（5）</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（6）</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（7）</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keepNext/>
        <w:keepLines/>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keepLines/>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一、四层阅读工作空间的设计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r>
              <w:rPr>
                <w:rFonts w:hint="eastAsia" w:ascii="仿宋_GB2312" w:hAnsi="仿宋_GB2312" w:eastAsia="仿宋_GB2312"/>
                <w:b w:val="0"/>
                <w:sz w:val="24"/>
                <w:lang w:eastAsia="zh-CN"/>
              </w:rPr>
              <w:t>；</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r>
              <w:rPr>
                <w:rFonts w:hint="eastAsia" w:ascii="仿宋_GB2312" w:hAnsi="仿宋_GB2312" w:eastAsia="仿宋_GB2312"/>
                <w:b w:val="0"/>
                <w:sz w:val="24"/>
                <w:lang w:eastAsia="zh-CN"/>
              </w:rPr>
              <w:t>；</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r>
              <w:rPr>
                <w:rFonts w:hint="eastAsia" w:ascii="仿宋_GB2312" w:hAnsi="仿宋_GB2312" w:eastAsia="仿宋_GB2312"/>
                <w:b w:val="0"/>
                <w:sz w:val="24"/>
                <w:lang w:eastAsia="zh-CN"/>
              </w:rPr>
              <w:t>；</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r>
              <w:rPr>
                <w:rFonts w:hint="eastAsia" w:ascii="仿宋_GB2312" w:hAnsi="仿宋_GB2312" w:eastAsia="仿宋_GB2312"/>
                <w:b w:val="0"/>
                <w:sz w:val="24"/>
                <w:lang w:eastAsia="zh-CN"/>
              </w:rPr>
              <w:t>。</w:t>
            </w:r>
          </w:p>
          <w:p w14:paraId="6BA830E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bCs/>
                <w:kern w:val="2"/>
                <w:sz w:val="24"/>
                <w:szCs w:val="24"/>
                <w:lang w:val="en-US" w:eastAsia="zh-CN" w:bidi="ar"/>
                <w:woUserID w:val="2"/>
              </w:rPr>
            </w:pPr>
            <w:r>
              <w:rPr>
                <w:rFonts w:ascii="仿宋_GB2312" w:hAnsi="仿宋_GB2312" w:eastAsia="仿宋_GB2312"/>
                <w:b w:val="0"/>
                <w:bCs/>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1EE573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四层阅读工作空间之间的关系如下图所示。</w:t>
            </w:r>
          </w:p>
          <w:p w14:paraId="4AD424E7">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drawing>
                <wp:inline distT="0" distB="0" distL="114300" distR="114300">
                  <wp:extent cx="5039995" cy="35064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40000" cy="3507000"/>
                          </a:xfrm>
                          <a:prstGeom prst="rect">
                            <a:avLst/>
                          </a:prstGeom>
                        </pic:spPr>
                      </pic:pic>
                    </a:graphicData>
                  </a:graphic>
                </wp:inline>
              </w:drawing>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rPr>
              <w:t>图1  四层阅读工作空间关系示意图</w:t>
            </w:r>
          </w:p>
          <w:p w14:paraId="663FDFD5">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二、Agent驱动的任务组织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14:paraId="148DD0B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三、Server与Agent分离的工程结构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w:t>
            </w:r>
            <w:r>
              <w:rPr>
                <w:rFonts w:hint="eastAsia" w:ascii="仿宋_GB2312" w:hAnsi="仿宋_GB2312" w:eastAsia="仿宋_GB2312"/>
                <w:b w:val="0"/>
                <w:sz w:val="24"/>
                <w:lang w:val="en-US" w:eastAsia="zh-CN"/>
              </w:rPr>
              <w:t>有利于</w:t>
            </w:r>
            <w:r>
              <w:rPr>
                <w:rFonts w:ascii="仿宋_GB2312" w:hAnsi="仿宋_GB2312" w:eastAsia="仿宋_GB2312"/>
                <w:b w:val="0"/>
                <w:sz w:val="24"/>
              </w:rPr>
              <w:t>明确数据权限、故障边界和可替换性：</w:t>
            </w:r>
            <w:r>
              <w:rPr>
                <w:rFonts w:hint="eastAsia" w:ascii="仿宋_GB2312" w:hAnsi="仿宋_GB2312" w:eastAsia="仿宋_GB2312"/>
                <w:b w:val="0"/>
                <w:sz w:val="24"/>
                <w:lang w:val="en-US" w:eastAsia="zh-CN"/>
              </w:rPr>
              <w:t>当</w:t>
            </w:r>
            <w:r>
              <w:rPr>
                <w:rFonts w:ascii="仿宋_GB2312" w:hAnsi="仿宋_GB2312" w:eastAsia="仿宋_GB2312"/>
                <w:b w:val="0"/>
                <w:sz w:val="24"/>
              </w:rPr>
              <w:t>模型执行出现异常时，阅读和已有数据仍然可用；未来更换模型或Agent实现时，不需要重写阅读器和业务接口。</w:t>
            </w:r>
          </w:p>
          <w:p w14:paraId="64F4BA37">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4B8FE6E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五、原型系统与验证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（7）在任务面板中取消、重试、审阅和采纳候选稿；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（8）在设置页配置模型服务、密钥、超时和预算。</w:t>
            </w:r>
          </w:p>
          <w:p w14:paraId="215BFBD2">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六、应用评估方案</w:t>
            </w:r>
          </w:p>
          <w:p w14:paraId="132BF00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从技术性能、内容质量和阅读效果三个层面开展评估。技术性能方面，检查各层输出的覆盖范围、结构完整性和层间一致性，统计引用可回溯率；内容质量方面，邀请3—5名人文社科教师或研究生，对内容的准确性、论证完整性、概念辨析和证据充分性进行评审；阅读效果方面，开展15—20名读者的对照实验，比较使用本工具与通用问答/摘要工具时的理解测试、任务完成时间和主观反馈。</w:t>
            </w:r>
          </w:p>
          <w:p w14:paraId="1EAF97DF">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14:paraId="1B9CDEB4">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0A163C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七、模型适配与输出稳定性</w:t>
            </w:r>
          </w:p>
          <w:p w14:paraId="2382180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不把模型微调作为必需环节，优先通过模型选择、提示词约束、上下文组织和结构化输出提高稳定性。若通用模型在专业术语、学术文体或长文本结构上持续不稳定，再评估使用少量高质量领域语料进行LoRA微调；训练数据采用“AI生成+人工核查”的方式构造，控制成本并保留人工判断。</w:t>
            </w:r>
          </w:p>
          <w:p w14:paraId="5523529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p>
          <w:p w14:paraId="474D13CB">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75D1A24">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八、研究重点、难点与思路</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1</w:t>
            </w:r>
            <w:r>
              <w:rPr>
                <w:rFonts w:hint="eastAsia" w:ascii="仿宋_GB2312" w:hAnsi="仿宋_GB2312" w:eastAsia="仿宋_GB2312"/>
                <w:b w:val="0"/>
                <w:sz w:val="24"/>
                <w:lang w:eastAsia="zh-CN"/>
              </w:rPr>
              <w:t>）</w:t>
            </w:r>
            <w:r>
              <w:rPr>
                <w:rFonts w:ascii="仿宋_GB2312" w:hAnsi="仿宋_GB2312" w:eastAsia="仿宋_GB2312"/>
                <w:b w:val="0"/>
                <w:sz w:val="24"/>
              </w:rPr>
              <w:t>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2</w:t>
            </w:r>
            <w:r>
              <w:rPr>
                <w:rFonts w:hint="eastAsia" w:ascii="仿宋_GB2312" w:hAnsi="仿宋_GB2312" w:eastAsia="仿宋_GB2312"/>
                <w:b w:val="0"/>
                <w:sz w:val="24"/>
                <w:lang w:eastAsia="zh-CN"/>
              </w:rPr>
              <w:t>）</w:t>
            </w:r>
            <w:r>
              <w:rPr>
                <w:rFonts w:ascii="仿宋_GB2312" w:hAnsi="仿宋_GB2312" w:eastAsia="仿宋_GB2312"/>
                <w:b w:val="0"/>
                <w:sz w:val="24"/>
              </w:rPr>
              <w:t>以真实经典文本为语料，按层实现任务和界面，完成小范围可用性测试；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3</w:t>
            </w:r>
            <w:r>
              <w:rPr>
                <w:rFonts w:hint="eastAsia" w:ascii="仿宋_GB2312" w:hAnsi="仿宋_GB2312" w:eastAsia="仿宋_GB2312"/>
                <w:b w:val="0"/>
                <w:sz w:val="24"/>
                <w:lang w:eastAsia="zh-CN"/>
              </w:rPr>
              <w:t>）</w:t>
            </w:r>
            <w:r>
              <w:rPr>
                <w:rFonts w:ascii="仿宋_GB2312" w:hAnsi="仿宋_GB2312" w:eastAsia="仿宋_GB2312"/>
                <w:b w:val="0"/>
                <w:sz w:val="24"/>
              </w:rPr>
              <w:t>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4</w:t>
            </w:r>
            <w:r>
              <w:rPr>
                <w:rFonts w:hint="eastAsia" w:ascii="仿宋_GB2312" w:hAnsi="仿宋_GB2312" w:eastAsia="仿宋_GB2312"/>
                <w:b w:val="0"/>
                <w:sz w:val="24"/>
                <w:lang w:eastAsia="zh-CN"/>
              </w:rPr>
              <w:t>）</w:t>
            </w:r>
            <w:r>
              <w:rPr>
                <w:rFonts w:ascii="仿宋_GB2312" w:hAnsi="仿宋_GB2312" w:eastAsia="仿宋_GB2312"/>
                <w:b w:val="0"/>
                <w:sz w:val="24"/>
              </w:rPr>
              <w:t>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5</w:t>
            </w:r>
            <w:r>
              <w:rPr>
                <w:rFonts w:hint="eastAsia" w:ascii="仿宋_GB2312" w:hAnsi="仿宋_GB2312" w:eastAsia="仿宋_GB2312"/>
                <w:b w:val="0"/>
                <w:sz w:val="24"/>
                <w:lang w:eastAsia="zh-CN"/>
              </w:rPr>
              <w:t>）</w:t>
            </w:r>
            <w:r>
              <w:rPr>
                <w:rFonts w:ascii="仿宋_GB2312" w:hAnsi="仿宋_GB2312" w:eastAsia="仿宋_GB2312"/>
                <w:b w:val="0"/>
                <w:sz w:val="24"/>
              </w:rPr>
              <w:t>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keepLines/>
              <w:rPr>
                <w:b/>
                <w:sz w:val="24"/>
                <w:szCs w:val="22"/>
              </w:rPr>
            </w:pPr>
            <w:r>
              <w:rPr>
                <w:rFonts w:hint="eastAsia"/>
                <w:b/>
                <w:sz w:val="24"/>
                <w:szCs w:val="22"/>
              </w:rPr>
              <w:t>项目创新点</w:t>
            </w:r>
          </w:p>
        </w:tc>
        <w:tc>
          <w:tcPr>
            <w:tcW w:w="9458" w:type="dxa"/>
          </w:tcPr>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w:t>
            </w:r>
            <w:r>
              <w:rPr>
                <w:rFonts w:hint="eastAsia" w:ascii="仿宋_GB2312" w:hAnsi="仿宋_GB2312" w:eastAsia="仿宋_GB2312"/>
                <w:b/>
                <w:sz w:val="24"/>
                <w:lang w:val="en-US" w:eastAsia="zh-CN"/>
              </w:rPr>
              <w:t>基于</w:t>
            </w:r>
            <w:r>
              <w:rPr>
                <w:rFonts w:ascii="仿宋_GB2312" w:hAnsi="仿宋_GB2312" w:eastAsia="仿宋_GB2312"/>
                <w:b/>
                <w:sz w:val="24"/>
              </w:rPr>
              <w:t>阅读尺度组织Agent任务</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四个尺度分别对应全书概览、章节论证、语义解析和概念辨析四类Agent任务，使分层协作有明确任务边界，而不是把通用功能简单并列。</w:t>
            </w:r>
          </w:p>
          <w:p w14:paraId="730E3ED9">
            <w:pPr>
              <w:spacing w:line="300" w:lineRule="auto"/>
              <w:ind w:left="0" w:leftChars="0" w:firstLine="480" w:firstLineChars="200"/>
              <w:rPr>
                <w:rFonts w:hint="eastAsia" w:ascii="仿宋_GB2312" w:hAnsi="仿宋_GB2312" w:eastAsia="仿宋_GB2312" w:cs="仿宋_GB2312"/>
                <w:sz w:val="24"/>
              </w:rPr>
            </w:pPr>
          </w:p>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二、自上而下与自下而上双向约束的分层生成机制</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分层生成方法多为单向工作流设计，逐层独立生成，缺乏在哲学社会科学超长复杂文本情境下对大模型生成偏差的纠错机制。本项目设计双向约束机制：上层为下层提供框架约束，全书框架约束章节解析，章节论证约束句段标注；下层向上层反馈校验信号，概念一致性反馈至语义解析层，论证覆盖度反馈至篇章论证层，章节覆盖度反馈至全书层，确保四层输出之间的逻辑协调与内容一致。</w:t>
            </w:r>
          </w:p>
          <w:p w14:paraId="730E3ED9">
            <w:pPr>
              <w:spacing w:line="300" w:lineRule="auto"/>
              <w:ind w:left="0" w:leftChars="0" w:firstLine="480" w:firstLineChars="200"/>
              <w:rPr>
                <w:rFonts w:hint="eastAsia" w:ascii="仿宋_GB2312" w:hAnsi="仿宋_GB2312" w:eastAsia="仿宋_GB2312" w:cs="仿宋_GB2312"/>
                <w:sz w:val="24"/>
              </w:rPr>
            </w:pPr>
          </w:p>
          <w:p w14:paraId="41B25EAE">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三、以原文证据约束生成，以读者复核完成闭环</w:t>
            </w:r>
          </w:p>
          <w:p w14:paraId="2F10C3E7">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14:paraId="6CB9DCD9">
            <w:pPr>
              <w:spacing w:line="300" w:lineRule="auto"/>
              <w:ind w:left="0" w:leftChars="0" w:firstLine="480" w:firstLineChars="200"/>
              <w:rPr>
                <w:rFonts w:hint="eastAsia" w:ascii="仿宋_GB2312" w:hAnsi="仿宋_GB2312" w:eastAsia="仿宋_GB2312" w:cs="仿宋_GB2312"/>
                <w:sz w:val="24"/>
              </w:rPr>
            </w:pPr>
          </w:p>
          <w:p w14:paraId="58FA76A2">
            <w:pPr>
              <w:spacing w:line="300" w:lineRule="auto"/>
              <w:jc w:val="left"/>
              <w:rPr>
                <w:rFonts w:hint="eastAsia" w:ascii="仿宋_GB2312" w:hAnsi="仿宋_GB2312" w:eastAsia="仿宋_GB2312" w:cs="仿宋_GB2312"/>
                <w:sz w:val="24"/>
              </w:rPr>
            </w:pPr>
            <w:r>
              <w:rPr>
                <w:rFonts w:ascii="仿宋_GB2312" w:hAnsi="仿宋_GB2312" w:eastAsia="仿宋_GB2312"/>
                <w:b/>
                <w:sz w:val="24"/>
              </w:rPr>
              <w:t>四、Server与Agent分离</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7DDC5F1">
            <w:pPr>
              <w:spacing w:line="300" w:lineRule="auto"/>
              <w:ind w:left="0" w:leftChars="0" w:firstLine="480" w:firstLineChars="200"/>
              <w:rPr>
                <w:rFonts w:hint="eastAsia" w:ascii="仿宋_GB2312" w:hAnsi="仿宋_GB2312" w:eastAsia="仿宋_GB2312" w:cs="仿宋_GB2312"/>
                <w:sz w:val="24"/>
              </w:rPr>
            </w:pPr>
          </w:p>
          <w:p w14:paraId="6ED0EDFA">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五、阅读、笔记、对话和任务共享同一套文本坐标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p w14:paraId="730E3ED9">
            <w:pPr>
              <w:spacing w:line="300" w:lineRule="auto"/>
              <w:ind w:left="0" w:leftChars="0" w:firstLine="480" w:firstLineChars="200"/>
              <w:rPr>
                <w:rFonts w:hint="eastAsia" w:ascii="仿宋_GB2312" w:hAnsi="仿宋_GB2312" w:eastAsia="仿宋_GB2312" w:cs="仿宋_GB2312"/>
                <w:sz w:val="24"/>
              </w:rPr>
            </w:pPr>
          </w:p>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六、面向哲学社会科学辅助阅读效果的多维度评估体系</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AI阅读工具评估多停留在技术指标层面，本项目构建“技术性能+专家评审+用户实验”三维评估体系，特别关注人文社科阅读的特殊性，即概念辨析准确性、论证结构完整性、分层内容之间的一致性等学科专属指标。评估体系包含指标评估、专家评审和用户实验，确保效果可衡量、可验证、可复现。</w:t>
            </w:r>
          </w:p>
        </w:tc>
      </w:tr>
    </w:tbl>
    <w:p w14:paraId="1ABD09AD">
      <w:pPr>
        <w:keepNext/>
        <w:keepLines/>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keepLines/>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keepNext/>
        <w:keepLines/>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keepNext/>
              <w:keepLines/>
              <w:rPr>
                <w:b/>
                <w:sz w:val="24"/>
                <w:szCs w:val="22"/>
              </w:rPr>
            </w:pPr>
            <w:r>
              <w:rPr>
                <w:rFonts w:hint="eastAsia"/>
                <w:b/>
                <w:sz w:val="24"/>
                <w:szCs w:val="22"/>
              </w:rPr>
              <w:t>项目实施的条件</w:t>
            </w:r>
          </w:p>
          <w:p w14:paraId="3FDCE1CA">
            <w:pPr>
              <w:keepLines/>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30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30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30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keepNext/>
        <w:keepLines/>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keepNext/>
              <w:keepLines/>
              <w:rPr>
                <w:b/>
                <w:sz w:val="24"/>
                <w:szCs w:val="22"/>
              </w:rPr>
            </w:pPr>
            <w:r>
              <w:rPr>
                <w:rFonts w:hint="eastAsia"/>
                <w:b/>
                <w:sz w:val="24"/>
                <w:szCs w:val="22"/>
              </w:rPr>
              <w:t>项目</w:t>
            </w:r>
          </w:p>
          <w:p w14:paraId="42784965">
            <w:pPr>
              <w:keepLines/>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w:t>
            </w:r>
            <w:r>
              <w:rPr>
                <w:rFonts w:ascii="仿宋_GB2312" w:hAnsi="仿宋_GB2312" w:eastAsia="仿宋_GB2312"/>
                <w:b/>
                <w:sz w:val="24"/>
              </w:rPr>
              <w:t>演示与说明材料：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keepLines/>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keepNext/>
        <w:keepLines/>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keepLines/>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keepNext/>
        <w:keepLines/>
        <w:spacing w:before="312" w:beforeLines="100" w:after="156" w:afterLines="50"/>
        <w:rPr>
          <w:b/>
          <w:sz w:val="32"/>
          <w:szCs w:val="32"/>
        </w:rPr>
      </w:pPr>
      <w:r>
        <w:rPr>
          <w:rFonts w:hint="eastAsia"/>
          <w:b/>
          <w:sz w:val="32"/>
          <w:szCs w:val="32"/>
        </w:rPr>
        <w:t>八、指导教师意见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keepLines/>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keepNext/>
        <w:keepLines/>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keepLines/>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keepLines/>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keepLines/>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1. 在项目实施的过程中遵守学校有关规定，恪守学术规范，真正做到诚实守信，实事求是；</w:t>
      </w:r>
      <w:bookmarkStart w:id="4" w:name="_GoBack"/>
      <w:bookmarkEnd w:id="4"/>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2. 项目经费严格按学校“大学生创新创业训练计划”项目管理的有关规定执行，按照专款专用原则，保证项目经费的有效合理使用；</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3. 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 保证研究项目的有序进行，并按华东理工大学“大学生创新创业训练计划”项目管理办法的要求，接受学校的中期检查。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5. 按期完成研究项目并由负责人提交结题报告及有关研究成果、项目经费决算（含使用明细）等材料，并且归还仪器设备、工具、资料等；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6. 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7. 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8. 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9. 本承诺书由本项目全体成员及指导教师签字并经创新创业学院确认后生效，如有违反，愿承担相应责任。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8"/>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9"/>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714263E"/>
    <w:rsid w:val="0BAC86DC"/>
    <w:rsid w:val="0D8701C6"/>
    <w:rsid w:val="1AFF793B"/>
    <w:rsid w:val="1E9D18DD"/>
    <w:rsid w:val="1FFE54BA"/>
    <w:rsid w:val="1FFF66C4"/>
    <w:rsid w:val="21DB58AF"/>
    <w:rsid w:val="2220579D"/>
    <w:rsid w:val="285FE06B"/>
    <w:rsid w:val="2A7BCD8C"/>
    <w:rsid w:val="2B9B9488"/>
    <w:rsid w:val="2BEBDF3E"/>
    <w:rsid w:val="2E5C7F83"/>
    <w:rsid w:val="2FFF8F50"/>
    <w:rsid w:val="34382EF5"/>
    <w:rsid w:val="34BE2AD3"/>
    <w:rsid w:val="36FB232F"/>
    <w:rsid w:val="374F1DF3"/>
    <w:rsid w:val="392C35FE"/>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00354F2"/>
    <w:rsid w:val="63FF6BF4"/>
    <w:rsid w:val="65E25799"/>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17</Pages>
  <Words>10776</Words>
  <Characters>11500</Characters>
  <Lines>614</Lines>
  <Paragraphs>256</Paragraphs>
  <TotalTime>43</TotalTime>
  <ScaleCrop>false</ScaleCrop>
  <LinksUpToDate>false</LinksUpToDate>
  <CharactersWithSpaces>11775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2026-10-19T18:45:25Z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