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Readme : </w:t>
      </w:r>
    </w:p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5f6368"/>
          <w:sz w:val="20"/>
          <w:szCs w:val="20"/>
          <w:highlight w:val="white"/>
        </w:rPr>
      </w:pPr>
      <w:r w:rsidDel="00000000" w:rsidR="00000000" w:rsidRPr="00000000">
        <w:rPr>
          <w:rtl w:val="0"/>
        </w:rPr>
        <w:t xml:space="preserve">1.Please take Merged-all-rec0_1.csv    from Rec Interval 0.1/RAW Data/Merged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5f636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highlight w:val="white"/>
          <w:rtl w:val="0"/>
        </w:rPr>
        <w:t xml:space="preserve">2. Please use Code/preprocessing/Transformation.py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5f636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highlight w:val="white"/>
          <w:rtl w:val="0"/>
        </w:rPr>
        <w:t xml:space="preserve">3. Please use Code/window analysis/windowed_data_generation.py to generate windowed data. (Note: The generated windowed data is available in Data/Rec int: 0.1/updated/merged_windowed.csv)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5f6368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5f6368"/>
          <w:sz w:val="20"/>
          <w:szCs w:val="20"/>
          <w:highlight w:val="white"/>
          <w:rtl w:val="0"/>
        </w:rPr>
        <w:t xml:space="preserve">4.  Models are available in Code/Models/RandomForestClassifier &amp; Modelling Script is available in RandomForestClassifier/ModellingScript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