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4234B"/>
          <w:sz w:val="32"/>
        </w:rPr>
        <w:t>Restoration and Enhancement of Degraded Historical Documents and Manuscripts Using Classical Image Processing and Computer Vision Techniques</w:t>
      </w:r>
    </w:p>
    <w:p>
      <w:pPr>
        <w:spacing w:after="20"/>
        <w:jc w:val="center"/>
      </w:pPr>
      <w:r>
        <w:rPr>
          <w:rFonts w:ascii="Times New Roman" w:hAnsi="Times New Roman"/>
          <w:b/>
          <w:sz w:val="21"/>
        </w:rPr>
        <w:t>Student 1,  Student 2,  Student 3,  Student 4</w:t>
      </w:r>
    </w:p>
    <w:p>
      <w:pPr>
        <w:spacing w:after="20"/>
        <w:jc w:val="center"/>
      </w:pPr>
      <w:r>
        <w:rPr>
          <w:rFonts w:ascii="Times New Roman" w:hAnsi="Times New Roman"/>
          <w:i/>
          <w:sz w:val="19"/>
        </w:rPr>
        <w:t>Department of Computer Science and Engineering, [University Name], [City], India</w:t>
      </w:r>
    </w:p>
    <w:p>
      <w:pPr>
        <w:spacing w:after="80"/>
        <w:jc w:val="center"/>
      </w:pPr>
      <w:r>
        <w:rPr>
          <w:rFonts w:ascii="Courier New" w:hAnsi="Courier New"/>
          <w:sz w:val="17"/>
        </w:rPr>
        <w:t>{student1, student2, student3, student4}@university.edu</w:t>
      </w:r>
    </w:p>
    <w:p>
      <w:pPr>
        <w:spacing w:after="80"/>
        <w:jc w:val="center"/>
      </w:pPr>
      <w:r>
        <w:rPr>
          <w:color w:val="B4B4B4"/>
          <w:sz w:val="14"/>
        </w:rPr>
        <w:t>――――――――――――――――――――――――――――――――――――――――――――――――――――――――――――</w:t>
      </w:r>
    </w:p>
    <w:p>
      <w:pPr>
        <w:spacing w:before="40" w:after="40"/>
        <w:jc w:val="center"/>
      </w:pPr>
      <w:r>
        <w:rPr>
          <w:rFonts w:ascii="Times New Roman" w:hAnsi="Times New Roman"/>
          <w:b/>
          <w:i/>
          <w:sz w:val="21"/>
        </w:rPr>
        <w:t>Abstract</w:t>
      </w:r>
    </w:p>
    <w:p>
      <w:pPr>
        <w:spacing w:line="252" w:lineRule="auto" w:after="80"/>
        <w:ind w:left="432" w:right="432"/>
        <w:jc w:val="both"/>
      </w:pPr>
      <w:r>
        <w:rPr>
          <w:rFonts w:ascii="Times New Roman" w:hAnsi="Times New Roman"/>
          <w:i/>
          <w:sz w:val="20"/>
        </w:rPr>
        <w:t>Historical manuscripts preserved in libraries and national archives suffer from progressive chemical oxidation, parchment yellowing, ink bleed-through, moisture rings, tears, and geometric skew. Conventional global thresholding and standard linear spatial filters fail because illumination and degradation fields are non-uniform and text stroke topology is fragile. In this paper, we formulate and validate an end-to-end eight-stage computer vision restoration pipeline comprising: (1) intensity-profile boundary cropping, (2) Radon/Hough geometric deskewing, (3) morphological flat-field division for illumination normalization, (4) edge-preserving Fast Non-Local Means and bilateral denoising, (5) CLAHE contrast enhancement in perceptual CIE L*a*b* space, (6) Telea and Navier-Stokes inpainting for defect repair, (7) a constant-time O(1) box-filter implementation of Sauvola local adaptive binarization, and (8) unsharp masking with morphological topological cleaning. Benchmarked on authentic historical manuscripts (Codex Gigas, Gutenberg Bible, US Constitution, Magna Carta) and calibrated synthetic documents, the system consistently isolates faint strokes, suppresses severe stains, and executes in sub-second times on consumer multi-core CPUs. A Streamlit web dashboard is provided for interactive real-time restoration and diagnostic evaluation.</w:t>
      </w:r>
    </w:p>
    <w:p>
      <w:pPr>
        <w:spacing w:after="120"/>
        <w:ind w:left="432" w:right="432"/>
        <w:jc w:val="both"/>
      </w:pPr>
      <w:r>
        <w:rPr>
          <w:rFonts w:ascii="Times New Roman" w:hAnsi="Times New Roman"/>
          <w:b/>
          <w:i/>
          <w:sz w:val="19"/>
        </w:rPr>
        <w:t>Keywords—</w:t>
      </w:r>
      <w:r>
        <w:rPr>
          <w:rFonts w:ascii="Times New Roman" w:hAnsi="Times New Roman"/>
          <w:i/>
          <w:sz w:val="19"/>
        </w:rPr>
        <w:t>Historical Document Restoration, Sauvola Binarization, Morphological Division, Fast NLM, CLAHE, Inpainting, Computer Vision.</w:t>
      </w:r>
    </w:p>
    <w:p>
      <w:pPr>
        <w:keepNext/>
        <w:spacing w:before="160" w:after="40"/>
        <w:jc w:val="center"/>
      </w:pPr>
      <w:r>
        <w:rPr>
          <w:rFonts w:ascii="Times New Roman" w:hAnsi="Times New Roman"/>
          <w:b/>
          <w:color w:val="14234B"/>
          <w:sz w:val="24"/>
        </w:rPr>
        <w:t>I. INTRODUCTION</w:t>
      </w:r>
    </w:p>
    <w:p>
      <w:pPr>
        <w:keepNext/>
        <w:spacing w:before="120" w:after="40"/>
        <w:jc w:val="left"/>
      </w:pPr>
      <w:r>
        <w:rPr>
          <w:rFonts w:ascii="Times New Roman" w:hAnsi="Times New Roman"/>
          <w:b/>
          <w:i/>
          <w:color w:val="1E1E1E"/>
          <w:sz w:val="22"/>
        </w:rPr>
        <w:t>I.A. Background and Motivation</w:t>
      </w:r>
    </w:p>
    <w:p>
      <w:pPr>
        <w:spacing w:line="252" w:lineRule="auto" w:after="60" w:before="0"/>
        <w:ind w:firstLine="288"/>
        <w:jc w:val="both"/>
      </w:pPr>
      <w:r>
        <w:rPr>
          <w:rFonts w:ascii="Times New Roman" w:hAnsi="Times New Roman"/>
          <w:i w:val="0"/>
          <w:sz w:val="22"/>
        </w:rPr>
        <w:t>Centuries of intellectual, cultural, and scientific progress remain documented on papyrus, animal parchment (vellum), and early handmade paper. Preserving these irreplaceable materials has spurred international digitization efforts [9]. However, physical scanning frequently inherits accumulated radiometric and physical distortions that impede paleographic transcription and modern Optical Character Recognition (OCR) systems. Automated digital restoration offers a reproducible, non-destructive solution to restore legibility without endangering fragile original artifacts.</w:t>
      </w:r>
    </w:p>
    <w:p>
      <w:pPr>
        <w:keepNext/>
        <w:spacing w:before="120" w:after="40"/>
        <w:jc w:val="left"/>
      </w:pPr>
      <w:r>
        <w:rPr>
          <w:rFonts w:ascii="Times New Roman" w:hAnsi="Times New Roman"/>
          <w:b/>
          <w:i/>
          <w:color w:val="1E1E1E"/>
          <w:sz w:val="22"/>
        </w:rPr>
        <w:t>I.B. Degradation Taxonomy in Ancient Documents</w:t>
      </w:r>
    </w:p>
    <w:p>
      <w:pPr>
        <w:spacing w:line="252" w:lineRule="auto" w:after="60" w:before="0"/>
        <w:ind w:firstLine="288"/>
        <w:jc w:val="both"/>
      </w:pPr>
      <w:r>
        <w:rPr>
          <w:rFonts w:ascii="Times New Roman" w:hAnsi="Times New Roman"/>
          <w:i w:val="0"/>
          <w:sz w:val="22"/>
        </w:rPr>
        <w:t>Degradation phenomena in historical manuscripts span four broad categories: (1) Photometric degradation: yellowing, chemical browning, water stains, and fading of iron gall inks; (2) Bleed-through: ink migration through porous parchment over centuries, creating overlapping reverse-side text; (3) Structural defects: wormholes, creases, tears, and fungal specks; and (4) Digitization artifacts: geometric skew, illumination falloff, and dark scanning borders.</w:t>
      </w:r>
    </w:p>
    <w:p>
      <w:pPr>
        <w:keepNext/>
        <w:spacing w:before="120" w:after="40"/>
        <w:jc w:val="left"/>
      </w:pPr>
      <w:r>
        <w:rPr>
          <w:rFonts w:ascii="Times New Roman" w:hAnsi="Times New Roman"/>
          <w:b/>
          <w:i/>
          <w:color w:val="1E1E1E"/>
          <w:sz w:val="22"/>
        </w:rPr>
        <w:t>I.C. Research Challenges in Classical Document Restoration</w:t>
      </w:r>
    </w:p>
    <w:p>
      <w:pPr>
        <w:spacing w:line="252" w:lineRule="auto" w:after="60" w:before="0"/>
        <w:ind w:firstLine="288"/>
        <w:jc w:val="both"/>
      </w:pPr>
      <w:r>
        <w:rPr>
          <w:rFonts w:ascii="Times New Roman" w:hAnsi="Times New Roman"/>
          <w:i w:val="0"/>
          <w:sz w:val="22"/>
        </w:rPr>
        <w:t>Standard enhancement routines fail on historical documents. Global thresholding (e.g., Otsu's method [2]) assumes a bimodal intensity histogram; when stain luminance overlaps with faint ink, Otsu turns stained background into solid black blocks. Linear filters (Gaussian blur) attenuate thin handwritten strokes and destroy character loops. Furthermore, high-resolution scans (10–60 MP) overwhelm naive sliding-window algorithms, whose O(W²) per-pixel complexity prevents interactive archival use.</w:t>
      </w:r>
    </w:p>
    <w:p>
      <w:pPr>
        <w:keepNext/>
        <w:spacing w:before="120" w:after="40"/>
        <w:jc w:val="left"/>
      </w:pPr>
      <w:r>
        <w:rPr>
          <w:rFonts w:ascii="Times New Roman" w:hAnsi="Times New Roman"/>
          <w:b/>
          <w:i/>
          <w:color w:val="1E1E1E"/>
          <w:sz w:val="22"/>
        </w:rPr>
        <w:t>I.D. Project Objectives and Scope</w:t>
      </w:r>
    </w:p>
    <w:p>
      <w:pPr>
        <w:spacing w:line="252" w:lineRule="auto" w:after="60" w:before="0"/>
        <w:ind w:firstLine="288"/>
        <w:jc w:val="both"/>
      </w:pPr>
      <w:r>
        <w:rPr>
          <w:rFonts w:ascii="Times New Roman" w:hAnsi="Times New Roman"/>
          <w:i w:val="0"/>
          <w:sz w:val="22"/>
        </w:rPr>
        <w:t>This project achieves five objectives: (1) design a modular 8-stage image restoration pipeline; (2) implement an exact O(1) box-filter Sauvola thresholding algorithm for rapid CPU execution; (3) benchmark across diverse historical manuscripts (13th–18th century); (4) evaluate restoration quantitatively (PSNR, SSIM) and qualitatively; and (5) deliver an interactive Streamlit graphical web application.</w:t>
      </w:r>
    </w:p>
    <w:p>
      <w:pPr>
        <w:keepNext/>
        <w:spacing w:before="160" w:after="40"/>
        <w:jc w:val="center"/>
      </w:pPr>
      <w:r>
        <w:rPr>
          <w:rFonts w:ascii="Times New Roman" w:hAnsi="Times New Roman"/>
          <w:b/>
          <w:color w:val="14234B"/>
          <w:sz w:val="24"/>
        </w:rPr>
        <w:t>II. METHODOLOGY</w:t>
      </w:r>
    </w:p>
    <w:p>
      <w:pPr>
        <w:spacing w:line="252" w:lineRule="auto" w:after="60" w:before="0"/>
        <w:ind w:firstLine="288"/>
        <w:jc w:val="both"/>
      </w:pPr>
      <w:r>
        <w:rPr>
          <w:rFonts w:ascii="Times New Roman" w:hAnsi="Times New Roman"/>
          <w:i w:val="0"/>
          <w:sz w:val="22"/>
        </w:rPr>
        <w:t>The restoration pipeline consists of eight sequential, modular stages built with a fluent interface to allow dynamic parameter tuning and stage ablation. Each stage addresses a distinct physical or radiometric degradation.</w:t>
      </w:r>
    </w:p>
    <w:p>
      <w:pPr>
        <w:keepNext/>
        <w:spacing w:before="120" w:after="40"/>
        <w:jc w:val="left"/>
      </w:pPr>
      <w:r>
        <w:rPr>
          <w:rFonts w:ascii="Times New Roman" w:hAnsi="Times New Roman"/>
          <w:b/>
          <w:i/>
          <w:color w:val="1E1E1E"/>
          <w:sz w:val="22"/>
        </w:rPr>
        <w:t>II.A. Stage 1: Document Boundary Detection and Margin Cropping</w:t>
      </w:r>
    </w:p>
    <w:p>
      <w:pPr>
        <w:spacing w:line="252" w:lineRule="auto" w:after="60" w:before="0"/>
        <w:ind w:firstLine="288"/>
        <w:jc w:val="both"/>
      </w:pPr>
      <w:r>
        <w:rPr>
          <w:rFonts w:ascii="Times New Roman" w:hAnsi="Times New Roman"/>
          <w:i w:val="0"/>
          <w:sz w:val="22"/>
        </w:rPr>
        <w:t>Archival scans often contain dark scanner bed borders that corrupt histogram calculations. For grayscale image Ig of size H×W, row and column intensity projection averages are computed:</w:t>
      </w:r>
    </w:p>
    <w:p>
      <w:pPr>
        <w:spacing w:before="40" w:after="40" w:line="240" w:lineRule="auto"/>
        <w:jc w:val="center"/>
      </w:pPr>
      <w:r>
        <w:rPr>
          <w:rFonts w:ascii="Times New Roman" w:hAnsi="Times New Roman"/>
          <w:i/>
          <w:sz w:val="20"/>
        </w:rPr>
        <w:t>μ_row(y) = (1 / W) Σ_{x=0}^{W-1} Ig(x, y),     μ_col(x) = (1 / H) Σ_{y=0}^{H-1} Ig(x, y)</w:t>
      </w:r>
    </w:p>
    <w:p>
      <w:pPr>
        <w:spacing w:line="252" w:lineRule="auto" w:after="60" w:before="0"/>
        <w:ind w:firstLine="288"/>
        <w:jc w:val="both"/>
      </w:pPr>
      <w:r>
        <w:rPr>
          <w:rFonts w:ascii="Times New Roman" w:hAnsi="Times New Roman"/>
          <w:i w:val="0"/>
          <w:sz w:val="22"/>
        </w:rPr>
        <w:t>Boundary coordinates where profiles exceed threshold T_margin = 10 define the bounding box [x_min, y_min, x_max, y_max]. A safety margin padding of p = 5 pixels is added to preserve peripheral script.</w:t>
      </w:r>
    </w:p>
    <w:p>
      <w:pPr>
        <w:keepNext/>
        <w:spacing w:before="120" w:after="40"/>
        <w:jc w:val="left"/>
      </w:pPr>
      <w:r>
        <w:rPr>
          <w:rFonts w:ascii="Times New Roman" w:hAnsi="Times New Roman"/>
          <w:b/>
          <w:i/>
          <w:color w:val="1E1E1E"/>
          <w:sz w:val="22"/>
        </w:rPr>
        <w:t>II.B. Stage 2: Geometric Rectification and Deskewing</w:t>
      </w:r>
    </w:p>
    <w:p>
      <w:pPr>
        <w:spacing w:line="252" w:lineRule="auto" w:after="60" w:before="0"/>
        <w:ind w:firstLine="288"/>
        <w:jc w:val="both"/>
      </w:pPr>
      <w:r>
        <w:rPr>
          <w:rFonts w:ascii="Times New Roman" w:hAnsi="Times New Roman"/>
          <w:i w:val="0"/>
          <w:sz w:val="22"/>
        </w:rPr>
        <w:t>Rotational skew during scanning impairs line segmentation and text analysis. Candidate angles θ ∈ [-45°, +45°] are evaluated by maximizing horizontal projection profile variance [3]:</w:t>
      </w:r>
    </w:p>
    <w:p>
      <w:pPr>
        <w:spacing w:before="40" w:after="40" w:line="240" w:lineRule="auto"/>
        <w:jc w:val="center"/>
      </w:pPr>
      <w:r>
        <w:rPr>
          <w:rFonts w:ascii="Times New Roman" w:hAnsi="Times New Roman"/>
          <w:i/>
          <w:sz w:val="20"/>
        </w:rPr>
        <w:t>P_θ(y) = Σ_x I_{rotated, θ}(x, y),     θ* = argmax_θ Var(P_θ)</w:t>
      </w:r>
    </w:p>
    <w:p>
      <w:pPr>
        <w:spacing w:line="252" w:lineRule="auto" w:after="60" w:before="0"/>
        <w:ind w:firstLine="288"/>
        <w:jc w:val="both"/>
      </w:pPr>
      <w:r>
        <w:rPr>
          <w:rFonts w:ascii="Times New Roman" w:hAnsi="Times New Roman"/>
          <w:i w:val="0"/>
          <w:sz w:val="22"/>
        </w:rPr>
        <w:t>When text lines align horizontally, interline spacing maximizes variance. The image is rotated via 2D affine transformation with bicubic spline interpolation and white border padding.</w:t>
      </w:r>
    </w:p>
    <w:p>
      <w:pPr>
        <w:keepNext/>
        <w:spacing w:before="120" w:after="40"/>
        <w:jc w:val="left"/>
      </w:pPr>
      <w:r>
        <w:rPr>
          <w:rFonts w:ascii="Times New Roman" w:hAnsi="Times New Roman"/>
          <w:b/>
          <w:i/>
          <w:color w:val="1E1E1E"/>
          <w:sz w:val="22"/>
        </w:rPr>
        <w:t>II.C. Stage 3: Illumination Normalization via Morphological Background Division</w:t>
      </w:r>
    </w:p>
    <w:p>
      <w:pPr>
        <w:spacing w:line="252" w:lineRule="auto" w:after="60" w:before="0"/>
        <w:ind w:firstLine="288"/>
        <w:jc w:val="both"/>
      </w:pPr>
      <w:r>
        <w:rPr>
          <w:rFonts w:ascii="Times New Roman" w:hAnsi="Times New Roman"/>
          <w:i w:val="0"/>
          <w:sz w:val="22"/>
        </w:rPr>
        <w:t>Aged parchment exhibits severe low-frequency spatial degradation (yellowing, shadows, stains), while text characters occupy high frequencies. A structuring element S_{k×k} with k = 51 px (exceeding maximum stroke width) is used in morphological closing:</w:t>
      </w:r>
    </w:p>
    <w:p>
      <w:pPr>
        <w:spacing w:before="40" w:after="40" w:line="240" w:lineRule="auto"/>
        <w:jc w:val="center"/>
      </w:pPr>
      <w:r>
        <w:rPr>
          <w:rFonts w:ascii="Times New Roman" w:hAnsi="Times New Roman"/>
          <w:i/>
          <w:sz w:val="20"/>
        </w:rPr>
        <w:t>B(x, y) = ((Ig ⊕ S) ⊖ S)(x, y)</w:t>
      </w:r>
    </w:p>
    <w:p>
      <w:pPr>
        <w:spacing w:before="40" w:after="40" w:line="240" w:lineRule="auto"/>
        <w:jc w:val="center"/>
      </w:pPr>
      <w:r>
        <w:rPr>
          <w:rFonts w:ascii="Times New Roman" w:hAnsi="Times New Roman"/>
          <w:i/>
          <w:sz w:val="20"/>
        </w:rPr>
        <w:t>I_norm(x, y) = clip( ( Ig(x, y) / max(B(x, y), 1.0) ) × 255,  0,  255 )</w:t>
      </w:r>
    </w:p>
    <w:p>
      <w:pPr>
        <w:spacing w:line="252" w:lineRule="auto" w:after="60" w:before="0"/>
        <w:ind w:firstLine="288"/>
        <w:jc w:val="both"/>
      </w:pPr>
      <w:r>
        <w:rPr>
          <w:rFonts w:ascii="Times New Roman" w:hAnsi="Times New Roman"/>
          <w:i w:val="0"/>
          <w:sz w:val="22"/>
        </w:rPr>
        <w:t>The structuring element closes over text strokes to estimate the background surface B. Point-wise division normalizes stained paper to uniform white (255) while strictly preserving stroke contrast.</w:t>
      </w:r>
    </w:p>
    <w:p>
      <w:pPr>
        <w:keepNext/>
        <w:spacing w:before="120" w:after="40"/>
        <w:jc w:val="left"/>
      </w:pPr>
      <w:r>
        <w:rPr>
          <w:rFonts w:ascii="Times New Roman" w:hAnsi="Times New Roman"/>
          <w:b/>
          <w:i/>
          <w:color w:val="1E1E1E"/>
          <w:sz w:val="22"/>
        </w:rPr>
        <w:t>II.D. Stage 4: Spatial Denoising and Paper Grain Suppression</w:t>
      </w:r>
    </w:p>
    <w:p>
      <w:pPr>
        <w:spacing w:line="252" w:lineRule="auto" w:after="60" w:before="0"/>
        <w:ind w:firstLine="288"/>
        <w:jc w:val="both"/>
      </w:pPr>
      <w:r>
        <w:rPr>
          <w:rFonts w:ascii="Times New Roman" w:hAnsi="Times New Roman"/>
          <w:i w:val="0"/>
          <w:sz w:val="22"/>
        </w:rPr>
        <w:t>To suppress paper grain without softening text edges, two complementary filters are provided: (1) Fast Non-Local Means (NLM) [7], which computes weighted averages based on patch similarity across search window Ω: Î(p) = (1/Z) Σ_q I(q) exp(-‖V(p)-V(q)‖² / h²); and (2) Bilateral Filtering [8], which combines spatial Euclidean closeness (d = 5) with photometric range similarity (σ_r = 50).</w:t>
      </w:r>
    </w:p>
    <w:p>
      <w:pPr>
        <w:keepNext/>
        <w:spacing w:before="120" w:after="40"/>
        <w:jc w:val="left"/>
      </w:pPr>
      <w:r>
        <w:rPr>
          <w:rFonts w:ascii="Times New Roman" w:hAnsi="Times New Roman"/>
          <w:b/>
          <w:i/>
          <w:color w:val="1E1E1E"/>
          <w:sz w:val="22"/>
        </w:rPr>
        <w:t>II.E. Stage 5: Local Contrast Enhancement (CLAHE)</w:t>
      </w:r>
    </w:p>
    <w:p>
      <w:pPr>
        <w:spacing w:line="252" w:lineRule="auto" w:after="60" w:before="0"/>
        <w:ind w:firstLine="288"/>
        <w:jc w:val="both"/>
      </w:pPr>
      <w:r>
        <w:rPr>
          <w:rFonts w:ascii="Times New Roman" w:hAnsi="Times New Roman"/>
          <w:i w:val="0"/>
          <w:sz w:val="22"/>
        </w:rPr>
        <w:t>Faded inks exhibit low contrast against parchment. Global histogram equalization over-amplifies paper noise. Contrast Limited Adaptive Histogram Equalization (CLAHE) [6] is applied in the perceptual CIE L*a*b* space strictly to the luminance channel (L*), using an 8×8 grid of tiles and clip limit β = 2.0. Bilinear interpolation across tile borders prevents seam artifacts.</w:t>
      </w:r>
    </w:p>
    <w:p>
      <w:pPr>
        <w:keepNext/>
        <w:spacing w:before="120" w:after="40"/>
        <w:jc w:val="left"/>
      </w:pPr>
      <w:r>
        <w:rPr>
          <w:rFonts w:ascii="Times New Roman" w:hAnsi="Times New Roman"/>
          <w:b/>
          <w:i/>
          <w:color w:val="1E1E1E"/>
          <w:sz w:val="22"/>
        </w:rPr>
        <w:t>II.F. Stage 6: Defect Repair via Digital Inpainting</w:t>
      </w:r>
    </w:p>
    <w:p>
      <w:pPr>
        <w:spacing w:line="252" w:lineRule="auto" w:after="60" w:before="0"/>
        <w:ind w:firstLine="288"/>
        <w:jc w:val="both"/>
      </w:pPr>
      <w:r>
        <w:rPr>
          <w:rFonts w:ascii="Times New Roman" w:hAnsi="Times New Roman"/>
          <w:i w:val="0"/>
          <w:sz w:val="22"/>
        </w:rPr>
        <w:t>Physical holes, ink blots, and ripped corners are repaired using automated defect detection and inpainting: (1) A dual-threshold mask M_damage flags intensities ≤ 30 (ink blots) and ≥ 245 (tears), filtered by morphological opening and contour area filtering (Area ≥ 100 px²); and (2) Telea's Fast Marching Method [4] or Navier-Stokes PDE inpainting [5] propagates surrounding parchment texture into defect zones.</w:t>
      </w:r>
    </w:p>
    <w:p>
      <w:pPr>
        <w:keepNext/>
        <w:spacing w:before="120" w:after="40"/>
        <w:jc w:val="left"/>
      </w:pPr>
      <w:r>
        <w:rPr>
          <w:rFonts w:ascii="Times New Roman" w:hAnsi="Times New Roman"/>
          <w:b/>
          <w:i/>
          <w:color w:val="1E1E1E"/>
          <w:sz w:val="22"/>
        </w:rPr>
        <w:t>II.G. Stage 7: High-Speed O(1) Sauvola Local Adaptive Binarization</w:t>
      </w:r>
    </w:p>
    <w:p>
      <w:pPr>
        <w:spacing w:line="252" w:lineRule="auto" w:after="60" w:before="0"/>
        <w:ind w:firstLine="288"/>
        <w:jc w:val="both"/>
      </w:pPr>
      <w:r>
        <w:rPr>
          <w:rFonts w:ascii="Times New Roman" w:hAnsi="Times New Roman"/>
          <w:i w:val="0"/>
          <w:sz w:val="22"/>
        </w:rPr>
        <w:t>Sauvola's method [1] is the international standard for degraded document binarization, defining a dynamic threshold:</w:t>
      </w:r>
    </w:p>
    <w:p>
      <w:pPr>
        <w:spacing w:before="40" w:after="40" w:line="240" w:lineRule="auto"/>
        <w:jc w:val="center"/>
      </w:pPr>
      <w:r>
        <w:rPr>
          <w:rFonts w:ascii="Times New Roman" w:hAnsi="Times New Roman"/>
          <w:i/>
          <w:sz w:val="20"/>
        </w:rPr>
        <w:t>T(x, y) = m(x, y) · [ 1 + k · ( s(x, y) / R - 1 ) ]</w:t>
      </w:r>
    </w:p>
    <w:p>
      <w:pPr>
        <w:spacing w:line="252" w:lineRule="auto" w:after="60" w:before="0"/>
        <w:ind w:firstLine="288"/>
        <w:jc w:val="both"/>
      </w:pPr>
      <w:r>
        <w:rPr>
          <w:rFonts w:ascii="Times New Roman" w:hAnsi="Times New Roman"/>
          <w:i w:val="0"/>
          <w:sz w:val="22"/>
        </w:rPr>
        <w:t>where m is local mean, s is local standard deviation in window W×W, R = 128, and k = 0.2. Naive sliding-window evaluation requires O(W²) per pixel. We implement an exact O(1) box-filter formulation using OpenCV integral box filters:</w:t>
      </w:r>
    </w:p>
    <w:p>
      <w:pPr>
        <w:spacing w:before="40" w:after="40" w:line="240" w:lineRule="auto"/>
        <w:jc w:val="center"/>
      </w:pPr>
      <w:r>
        <w:rPr>
          <w:rFonts w:ascii="Times New Roman" w:hAnsi="Times New Roman"/>
          <w:i/>
          <w:sz w:val="20"/>
        </w:rPr>
        <w:t>M = BoxFilter(Ig, W×W),   M₂ = BoxFilter(Ig², W×W),   S = √max(M₂ - M², 0)</w:t>
      </w:r>
    </w:p>
    <w:p>
      <w:pPr>
        <w:spacing w:line="252" w:lineRule="auto" w:after="60" w:before="0"/>
        <w:ind w:firstLine="288"/>
        <w:jc w:val="both"/>
      </w:pPr>
      <w:r>
        <w:rPr>
          <w:rFonts w:ascii="Times New Roman" w:hAnsi="Times New Roman"/>
          <w:i w:val="0"/>
          <w:sz w:val="22"/>
        </w:rPr>
        <w:t>Threshold matrix T is computed simultaneously via vectorized NumPy operations. Independent of window radius W, this formulation executes in under 0.2 seconds on a 1600×1200 document—over 35× faster than naive implementations.</w:t>
      </w:r>
    </w:p>
    <w:p>
      <w:pPr>
        <w:keepNext/>
        <w:spacing w:before="120" w:after="40"/>
        <w:jc w:val="left"/>
      </w:pPr>
      <w:r>
        <w:rPr>
          <w:rFonts w:ascii="Times New Roman" w:hAnsi="Times New Roman"/>
          <w:b/>
          <w:i/>
          <w:color w:val="1E1E1E"/>
          <w:sz w:val="22"/>
        </w:rPr>
        <w:t>II.H. Stage 8: Morphological Post-Processing and Text Sharpening</w:t>
      </w:r>
    </w:p>
    <w:p>
      <w:pPr>
        <w:spacing w:line="252" w:lineRule="auto" w:after="60" w:before="0"/>
        <w:ind w:firstLine="288"/>
        <w:jc w:val="both"/>
      </w:pPr>
      <w:r>
        <w:rPr>
          <w:rFonts w:ascii="Times New Roman" w:hAnsi="Times New Roman"/>
          <w:i w:val="0"/>
          <w:sz w:val="22"/>
        </w:rPr>
        <w:t>Unsharp masking amplifies high-frequency details: I_sharp = clip(I + α · [I - (G_σ * I)], 0, 255) with α = 1.5, σ = 3.0. A compact 2×2 structuring element applies morphological opening (clearing isolated salt-and-pepper specks) followed by morphological closing (bridging hairline character fractures).</w:t>
      </w:r>
    </w:p>
    <w:p>
      <w:pPr>
        <w:keepNext/>
        <w:spacing w:before="160" w:after="40"/>
        <w:jc w:val="center"/>
      </w:pPr>
      <w:r>
        <w:rPr>
          <w:rFonts w:ascii="Times New Roman" w:hAnsi="Times New Roman"/>
          <w:b/>
          <w:color w:val="14234B"/>
          <w:sz w:val="24"/>
        </w:rPr>
        <w:t>III. RESULTS AND DISCUSSION</w:t>
      </w:r>
    </w:p>
    <w:p>
      <w:pPr>
        <w:keepNext/>
        <w:spacing w:before="120" w:after="40"/>
        <w:jc w:val="left"/>
      </w:pPr>
      <w:r>
        <w:rPr>
          <w:rFonts w:ascii="Times New Roman" w:hAnsi="Times New Roman"/>
          <w:b/>
          <w:i/>
          <w:color w:val="1E1E1E"/>
          <w:sz w:val="22"/>
        </w:rPr>
        <w:t>III.A. Experimental Setup and Dataset Characteristics</w:t>
      </w:r>
    </w:p>
    <w:p>
      <w:pPr>
        <w:spacing w:line="252" w:lineRule="auto" w:after="60" w:before="0"/>
        <w:ind w:firstLine="288"/>
        <w:jc w:val="both"/>
      </w:pPr>
      <w:r>
        <w:rPr>
          <w:rFonts w:ascii="Times New Roman" w:hAnsi="Times New Roman"/>
          <w:i w:val="0"/>
          <w:sz w:val="22"/>
        </w:rPr>
        <w:t>The system was implemented in Python 3.10 with OpenCV 4.8, scikit-image 0.22, NumPy 1.26, and Streamlit 1.28+, running on an Intel Core i5-1135G7 CPU @ 2.40 GHz with 16 GB RAM (no GPU required). Five diverse historical documents were evaluated: (1) Codex Gigas (13th century, 1200×1600, Gothic script, vellum darkening); (2) Gutenberg Bible (15th century, 1000×1600, movable type, illumination falloff); (3) US Constitution (18th century, 1600×1321, handwritten cursive bleed-through); (4) Magna Carta (13th century, 1066×1600, severe fading and moisture stains); and (5) a calibrated synthetic benchmark (800×600, Gaussian noise, skew θ = +2.5°, moisture rings).</w:t>
      </w:r>
    </w:p>
    <w:p>
      <w:pPr>
        <w:keepNext/>
        <w:spacing w:before="120" w:after="40"/>
        <w:jc w:val="left"/>
      </w:pPr>
      <w:r>
        <w:rPr>
          <w:rFonts w:ascii="Times New Roman" w:hAnsi="Times New Roman"/>
          <w:b/>
          <w:i/>
          <w:color w:val="1E1E1E"/>
          <w:sz w:val="22"/>
        </w:rPr>
        <w:t>III.B. Quantitative Performance Evaluation</w:t>
      </w:r>
    </w:p>
    <w:p>
      <w:pPr>
        <w:spacing w:line="252" w:lineRule="auto" w:after="60" w:before="0"/>
        <w:ind w:firstLine="288"/>
        <w:jc w:val="both"/>
      </w:pPr>
      <w:r>
        <w:rPr>
          <w:rFonts w:ascii="Times New Roman" w:hAnsi="Times New Roman"/>
          <w:i w:val="0"/>
          <w:sz w:val="22"/>
        </w:rPr>
        <w:t>Fidelity was measured using Peak Signal-to-Noise Ratio (PSNR) and Structural Similarity Index (SSIM) [10]:</w:t>
      </w:r>
    </w:p>
    <w:p>
      <w:pPr>
        <w:spacing w:before="40" w:after="40" w:line="240" w:lineRule="auto"/>
        <w:jc w:val="center"/>
      </w:pPr>
      <w:r>
        <w:rPr>
          <w:rFonts w:ascii="Times New Roman" w:hAnsi="Times New Roman"/>
          <w:i/>
          <w:sz w:val="20"/>
        </w:rPr>
        <w:t>PSNR = 10 · log₁₀(255² / MSE)  (dB),     SSIM(x, y) = [ (2μ_x μ_y + C₁)(2σ_{xy} + C₂) ] / [ (μ_x² + μ_y² + C₁)(σ_x² + σ_y² + C₂) ]</w:t>
      </w:r>
    </w:p>
    <w:p>
      <w:pPr>
        <w:spacing w:before="80" w:after="40"/>
        <w:jc w:val="center"/>
      </w:pPr>
      <w:r>
        <w:rPr>
          <w:rFonts w:ascii="Times New Roman" w:hAnsi="Times New Roman"/>
          <w:b/>
          <w:sz w:val="19"/>
        </w:rPr>
        <w:t>TABLE I: End-to-End Quantitative Evaluation Across Historical Manuscripts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fill="1E3A5F"/>
            <w:tcMar>
              <w:top w:w="60" w:type="dxa"/>
              <w:bottom w:w="60" w:type="dxa"/>
              <w:left w:w="80" w:type="dxa"/>
              <w:right w:w="80" w:type="dxa"/>
            </w:tcMar>
          </w:tcPr>
          <w:p>
            <w:pPr>
              <w:jc w:val="center"/>
            </w:pPr>
            <w:r>
              <w:rPr>
                <w:b/>
                <w:color w:val="FFFFFF"/>
                <w:sz w:val="17"/>
              </w:rPr>
              <w:t>Document Sample</w:t>
            </w:r>
          </w:p>
        </w:tc>
        <w:tc>
          <w:tcPr>
            <w:tcW w:type="dxa" w:w="1806"/>
            <w:shd w:fill="1E3A5F"/>
            <w:tcMar>
              <w:top w:w="60" w:type="dxa"/>
              <w:bottom w:w="60" w:type="dxa"/>
              <w:left w:w="80" w:type="dxa"/>
              <w:right w:w="80" w:type="dxa"/>
            </w:tcMar>
          </w:tcPr>
          <w:p>
            <w:pPr>
              <w:jc w:val="center"/>
            </w:pPr>
            <w:r>
              <w:rPr>
                <w:b/>
                <w:color w:val="FFFFFF"/>
                <w:sz w:val="17"/>
              </w:rPr>
              <w:t>Resolution</w:t>
            </w:r>
          </w:p>
        </w:tc>
        <w:tc>
          <w:tcPr>
            <w:tcW w:type="dxa" w:w="1806"/>
            <w:shd w:fill="1E3A5F"/>
            <w:tcMar>
              <w:top w:w="60" w:type="dxa"/>
              <w:bottom w:w="60" w:type="dxa"/>
              <w:left w:w="80" w:type="dxa"/>
              <w:right w:w="80" w:type="dxa"/>
            </w:tcMar>
          </w:tcPr>
          <w:p>
            <w:pPr>
              <w:jc w:val="center"/>
            </w:pPr>
            <w:r>
              <w:rPr>
                <w:b/>
                <w:color w:val="FFFFFF"/>
                <w:sz w:val="17"/>
              </w:rPr>
              <w:t>Primary Degradations</w:t>
            </w:r>
          </w:p>
        </w:tc>
        <w:tc>
          <w:tcPr>
            <w:tcW w:type="dxa" w:w="1806"/>
            <w:shd w:fill="1E3A5F"/>
            <w:tcMar>
              <w:top w:w="60" w:type="dxa"/>
              <w:bottom w:w="60" w:type="dxa"/>
              <w:left w:w="80" w:type="dxa"/>
              <w:right w:w="80" w:type="dxa"/>
            </w:tcMar>
          </w:tcPr>
          <w:p>
            <w:pPr>
              <w:jc w:val="center"/>
            </w:pPr>
            <w:r>
              <w:rPr>
                <w:b/>
                <w:color w:val="FFFFFF"/>
                <w:sz w:val="17"/>
              </w:rPr>
              <w:t>PSNR (dB)</w:t>
            </w:r>
          </w:p>
        </w:tc>
        <w:tc>
          <w:tcPr>
            <w:tcW w:type="dxa" w:w="1806"/>
            <w:shd w:fill="1E3A5F"/>
            <w:tcMar>
              <w:top w:w="60" w:type="dxa"/>
              <w:bottom w:w="60" w:type="dxa"/>
              <w:left w:w="80" w:type="dxa"/>
              <w:right w:w="80" w:type="dxa"/>
            </w:tcMar>
          </w:tcPr>
          <w:p>
            <w:pPr>
              <w:jc w:val="center"/>
            </w:pPr>
            <w:r>
              <w:rPr>
                <w:b/>
                <w:color w:val="FFFFFF"/>
                <w:sz w:val="17"/>
              </w:rPr>
              <w:t>SSIM</w:t>
            </w:r>
          </w:p>
        </w:tc>
      </w:tr>
      <w:tr>
        <w:tc>
          <w:tcPr>
            <w:tcW w:type="dxa" w:w="1806"/>
            <w:tcMar>
              <w:top w:w="60" w:type="dxa"/>
              <w:bottom w:w="60" w:type="dxa"/>
              <w:left w:w="80" w:type="dxa"/>
              <w:right w:w="80" w:type="dxa"/>
            </w:tcMar>
          </w:tcPr>
          <w:p>
            <w:pPr>
              <w:jc w:val="center"/>
            </w:pPr>
            <w:r>
              <w:rPr>
                <w:sz w:val="16"/>
              </w:rPr>
              <w:t>Synthetic Benchmark</w:t>
            </w:r>
          </w:p>
        </w:tc>
        <w:tc>
          <w:tcPr>
            <w:tcW w:type="dxa" w:w="1806"/>
            <w:tcMar>
              <w:top w:w="60" w:type="dxa"/>
              <w:bottom w:w="60" w:type="dxa"/>
              <w:left w:w="80" w:type="dxa"/>
              <w:right w:w="80" w:type="dxa"/>
            </w:tcMar>
          </w:tcPr>
          <w:p>
            <w:pPr>
              <w:jc w:val="center"/>
            </w:pPr>
            <w:r>
              <w:rPr>
                <w:sz w:val="16"/>
              </w:rPr>
              <w:t>800×600</w:t>
            </w:r>
          </w:p>
        </w:tc>
        <w:tc>
          <w:tcPr>
            <w:tcW w:type="dxa" w:w="1806"/>
            <w:tcMar>
              <w:top w:w="60" w:type="dxa"/>
              <w:bottom w:w="60" w:type="dxa"/>
              <w:left w:w="80" w:type="dxa"/>
              <w:right w:w="80" w:type="dxa"/>
            </w:tcMar>
          </w:tcPr>
          <w:p>
            <w:pPr>
              <w:jc w:val="center"/>
            </w:pPr>
            <w:r>
              <w:rPr>
                <w:sz w:val="16"/>
              </w:rPr>
              <w:t>Stains, Skew (2.5°), Noise, Margins</w:t>
            </w:r>
          </w:p>
        </w:tc>
        <w:tc>
          <w:tcPr>
            <w:tcW w:type="dxa" w:w="1806"/>
            <w:tcMar>
              <w:top w:w="60" w:type="dxa"/>
              <w:bottom w:w="60" w:type="dxa"/>
              <w:left w:w="80" w:type="dxa"/>
              <w:right w:w="80" w:type="dxa"/>
            </w:tcMar>
          </w:tcPr>
          <w:p>
            <w:pPr>
              <w:jc w:val="center"/>
            </w:pPr>
            <w:r>
              <w:rPr>
                <w:sz w:val="16"/>
              </w:rPr>
              <w:t>11.43 dB</w:t>
            </w:r>
          </w:p>
        </w:tc>
        <w:tc>
          <w:tcPr>
            <w:tcW w:type="dxa" w:w="1806"/>
            <w:tcMar>
              <w:top w:w="60" w:type="dxa"/>
              <w:bottom w:w="60" w:type="dxa"/>
              <w:left w:w="80" w:type="dxa"/>
              <w:right w:w="80" w:type="dxa"/>
            </w:tcMar>
          </w:tcPr>
          <w:p>
            <w:pPr>
              <w:jc w:val="center"/>
            </w:pPr>
            <w:r>
              <w:rPr>
                <w:sz w:val="16"/>
              </w:rPr>
              <w:t>0.6416</w:t>
            </w:r>
          </w:p>
        </w:tc>
      </w:tr>
      <w:tr>
        <w:tc>
          <w:tcPr>
            <w:tcW w:type="dxa" w:w="1806"/>
            <w:tcMar>
              <w:top w:w="60" w:type="dxa"/>
              <w:bottom w:w="60" w:type="dxa"/>
              <w:left w:w="80" w:type="dxa"/>
              <w:right w:w="80" w:type="dxa"/>
            </w:tcMar>
            <w:shd w:fill="F4F6F9"/>
          </w:tcPr>
          <w:p>
            <w:pPr>
              <w:jc w:val="center"/>
            </w:pPr>
            <w:r>
              <w:rPr>
                <w:sz w:val="16"/>
              </w:rPr>
              <w:t>US Constitution</w:t>
            </w:r>
          </w:p>
        </w:tc>
        <w:tc>
          <w:tcPr>
            <w:tcW w:type="dxa" w:w="1806"/>
            <w:tcMar>
              <w:top w:w="60" w:type="dxa"/>
              <w:bottom w:w="60" w:type="dxa"/>
              <w:left w:w="80" w:type="dxa"/>
              <w:right w:w="80" w:type="dxa"/>
            </w:tcMar>
            <w:shd w:fill="F4F6F9"/>
          </w:tcPr>
          <w:p>
            <w:pPr>
              <w:jc w:val="center"/>
            </w:pPr>
            <w:r>
              <w:rPr>
                <w:sz w:val="16"/>
              </w:rPr>
              <w:t>1600×1321</w:t>
            </w:r>
          </w:p>
        </w:tc>
        <w:tc>
          <w:tcPr>
            <w:tcW w:type="dxa" w:w="1806"/>
            <w:tcMar>
              <w:top w:w="60" w:type="dxa"/>
              <w:bottom w:w="60" w:type="dxa"/>
              <w:left w:w="80" w:type="dxa"/>
              <w:right w:w="80" w:type="dxa"/>
            </w:tcMar>
            <w:shd w:fill="F4F6F9"/>
          </w:tcPr>
          <w:p>
            <w:pPr>
              <w:jc w:val="center"/>
            </w:pPr>
            <w:r>
              <w:rPr>
                <w:sz w:val="16"/>
              </w:rPr>
              <w:t>Cursive Bleed-Through, Fading, Stains</w:t>
            </w:r>
          </w:p>
        </w:tc>
        <w:tc>
          <w:tcPr>
            <w:tcW w:type="dxa" w:w="1806"/>
            <w:tcMar>
              <w:top w:w="60" w:type="dxa"/>
              <w:bottom w:w="60" w:type="dxa"/>
              <w:left w:w="80" w:type="dxa"/>
              <w:right w:w="80" w:type="dxa"/>
            </w:tcMar>
            <w:shd w:fill="F4F6F9"/>
          </w:tcPr>
          <w:p>
            <w:pPr>
              <w:jc w:val="center"/>
            </w:pPr>
            <w:r>
              <w:rPr>
                <w:sz w:val="16"/>
              </w:rPr>
              <w:t>9.33 dB</w:t>
            </w:r>
          </w:p>
        </w:tc>
        <w:tc>
          <w:tcPr>
            <w:tcW w:type="dxa" w:w="1806"/>
            <w:tcMar>
              <w:top w:w="60" w:type="dxa"/>
              <w:bottom w:w="60" w:type="dxa"/>
              <w:left w:w="80" w:type="dxa"/>
              <w:right w:w="80" w:type="dxa"/>
            </w:tcMar>
            <w:shd w:fill="F4F6F9"/>
          </w:tcPr>
          <w:p>
            <w:pPr>
              <w:jc w:val="center"/>
            </w:pPr>
            <w:r>
              <w:rPr>
                <w:sz w:val="16"/>
              </w:rPr>
              <w:t>0.3569</w:t>
            </w:r>
          </w:p>
        </w:tc>
      </w:tr>
      <w:tr>
        <w:tc>
          <w:tcPr>
            <w:tcW w:type="dxa" w:w="1806"/>
            <w:tcMar>
              <w:top w:w="60" w:type="dxa"/>
              <w:bottom w:w="60" w:type="dxa"/>
              <w:left w:w="80" w:type="dxa"/>
              <w:right w:w="80" w:type="dxa"/>
            </w:tcMar>
          </w:tcPr>
          <w:p>
            <w:pPr>
              <w:jc w:val="center"/>
            </w:pPr>
            <w:r>
              <w:rPr>
                <w:sz w:val="16"/>
              </w:rPr>
              <w:t>Magna Carta</w:t>
            </w:r>
          </w:p>
        </w:tc>
        <w:tc>
          <w:tcPr>
            <w:tcW w:type="dxa" w:w="1806"/>
            <w:tcMar>
              <w:top w:w="60" w:type="dxa"/>
              <w:bottom w:w="60" w:type="dxa"/>
              <w:left w:w="80" w:type="dxa"/>
              <w:right w:w="80" w:type="dxa"/>
            </w:tcMar>
          </w:tcPr>
          <w:p>
            <w:pPr>
              <w:jc w:val="center"/>
            </w:pPr>
            <w:r>
              <w:rPr>
                <w:sz w:val="16"/>
              </w:rPr>
              <w:t>1066×1600</w:t>
            </w:r>
          </w:p>
        </w:tc>
        <w:tc>
          <w:tcPr>
            <w:tcW w:type="dxa" w:w="1806"/>
            <w:tcMar>
              <w:top w:w="60" w:type="dxa"/>
              <w:bottom w:w="60" w:type="dxa"/>
              <w:left w:w="80" w:type="dxa"/>
              <w:right w:w="80" w:type="dxa"/>
            </w:tcMar>
          </w:tcPr>
          <w:p>
            <w:pPr>
              <w:jc w:val="center"/>
            </w:pPr>
            <w:r>
              <w:rPr>
                <w:sz w:val="16"/>
              </w:rPr>
              <w:t>Severe Fading, Dark Stains, Low Contrast</w:t>
            </w:r>
          </w:p>
        </w:tc>
        <w:tc>
          <w:tcPr>
            <w:tcW w:type="dxa" w:w="1806"/>
            <w:tcMar>
              <w:top w:w="60" w:type="dxa"/>
              <w:bottom w:w="60" w:type="dxa"/>
              <w:left w:w="80" w:type="dxa"/>
              <w:right w:w="80" w:type="dxa"/>
            </w:tcMar>
          </w:tcPr>
          <w:p>
            <w:pPr>
              <w:jc w:val="center"/>
            </w:pPr>
            <w:r>
              <w:rPr>
                <w:sz w:val="16"/>
              </w:rPr>
              <w:t>7.62 dB</w:t>
            </w:r>
          </w:p>
        </w:tc>
        <w:tc>
          <w:tcPr>
            <w:tcW w:type="dxa" w:w="1806"/>
            <w:tcMar>
              <w:top w:w="60" w:type="dxa"/>
              <w:bottom w:w="60" w:type="dxa"/>
              <w:left w:w="80" w:type="dxa"/>
              <w:right w:w="80" w:type="dxa"/>
            </w:tcMar>
          </w:tcPr>
          <w:p>
            <w:pPr>
              <w:jc w:val="center"/>
            </w:pPr>
            <w:r>
              <w:rPr>
                <w:sz w:val="16"/>
              </w:rPr>
              <w:t>0.1706</w:t>
            </w:r>
          </w:p>
        </w:tc>
      </w:tr>
      <w:tr>
        <w:tc>
          <w:tcPr>
            <w:tcW w:type="dxa" w:w="1806"/>
            <w:tcMar>
              <w:top w:w="60" w:type="dxa"/>
              <w:bottom w:w="60" w:type="dxa"/>
              <w:left w:w="80" w:type="dxa"/>
              <w:right w:w="80" w:type="dxa"/>
            </w:tcMar>
            <w:shd w:fill="F4F6F9"/>
          </w:tcPr>
          <w:p>
            <w:pPr>
              <w:jc w:val="center"/>
            </w:pPr>
            <w:r>
              <w:rPr>
                <w:sz w:val="16"/>
              </w:rPr>
              <w:t>Codex Gigas</w:t>
            </w:r>
          </w:p>
        </w:tc>
        <w:tc>
          <w:tcPr>
            <w:tcW w:type="dxa" w:w="1806"/>
            <w:tcMar>
              <w:top w:w="60" w:type="dxa"/>
              <w:bottom w:w="60" w:type="dxa"/>
              <w:left w:w="80" w:type="dxa"/>
              <w:right w:w="80" w:type="dxa"/>
            </w:tcMar>
            <w:shd w:fill="F4F6F9"/>
          </w:tcPr>
          <w:p>
            <w:pPr>
              <w:jc w:val="center"/>
            </w:pPr>
            <w:r>
              <w:rPr>
                <w:sz w:val="16"/>
              </w:rPr>
              <w:t>1200×1600</w:t>
            </w:r>
          </w:p>
        </w:tc>
        <w:tc>
          <w:tcPr>
            <w:tcW w:type="dxa" w:w="1806"/>
            <w:tcMar>
              <w:top w:w="60" w:type="dxa"/>
              <w:bottom w:w="60" w:type="dxa"/>
              <w:left w:w="80" w:type="dxa"/>
              <w:right w:w="80" w:type="dxa"/>
            </w:tcMar>
            <w:shd w:fill="F4F6F9"/>
          </w:tcPr>
          <w:p>
            <w:pPr>
              <w:jc w:val="center"/>
            </w:pPr>
            <w:r>
              <w:rPr>
                <w:sz w:val="16"/>
              </w:rPr>
              <w:t>Parchment Yellowing, Glare, Gothic Script</w:t>
            </w:r>
          </w:p>
        </w:tc>
        <w:tc>
          <w:tcPr>
            <w:tcW w:type="dxa" w:w="1806"/>
            <w:tcMar>
              <w:top w:w="60" w:type="dxa"/>
              <w:bottom w:w="60" w:type="dxa"/>
              <w:left w:w="80" w:type="dxa"/>
              <w:right w:w="80" w:type="dxa"/>
            </w:tcMar>
            <w:shd w:fill="F4F6F9"/>
          </w:tcPr>
          <w:p>
            <w:pPr>
              <w:jc w:val="center"/>
            </w:pPr>
            <w:r>
              <w:rPr>
                <w:sz w:val="16"/>
              </w:rPr>
              <w:t>6.60 dB</w:t>
            </w:r>
          </w:p>
        </w:tc>
        <w:tc>
          <w:tcPr>
            <w:tcW w:type="dxa" w:w="1806"/>
            <w:tcMar>
              <w:top w:w="60" w:type="dxa"/>
              <w:bottom w:w="60" w:type="dxa"/>
              <w:left w:w="80" w:type="dxa"/>
              <w:right w:w="80" w:type="dxa"/>
            </w:tcMar>
            <w:shd w:fill="F4F6F9"/>
          </w:tcPr>
          <w:p>
            <w:pPr>
              <w:jc w:val="center"/>
            </w:pPr>
            <w:r>
              <w:rPr>
                <w:sz w:val="16"/>
              </w:rPr>
              <w:t>0.3399</w:t>
            </w:r>
          </w:p>
        </w:tc>
      </w:tr>
      <w:tr>
        <w:tc>
          <w:tcPr>
            <w:tcW w:type="dxa" w:w="1806"/>
            <w:tcMar>
              <w:top w:w="60" w:type="dxa"/>
              <w:bottom w:w="60" w:type="dxa"/>
              <w:left w:w="80" w:type="dxa"/>
              <w:right w:w="80" w:type="dxa"/>
            </w:tcMar>
          </w:tcPr>
          <w:p>
            <w:pPr>
              <w:jc w:val="center"/>
            </w:pPr>
            <w:r>
              <w:rPr>
                <w:sz w:val="16"/>
              </w:rPr>
              <w:t>Gutenberg Bible</w:t>
            </w:r>
          </w:p>
        </w:tc>
        <w:tc>
          <w:tcPr>
            <w:tcW w:type="dxa" w:w="1806"/>
            <w:tcMar>
              <w:top w:w="60" w:type="dxa"/>
              <w:bottom w:w="60" w:type="dxa"/>
              <w:left w:w="80" w:type="dxa"/>
              <w:right w:w="80" w:type="dxa"/>
            </w:tcMar>
          </w:tcPr>
          <w:p>
            <w:pPr>
              <w:jc w:val="center"/>
            </w:pPr>
            <w:r>
              <w:rPr>
                <w:sz w:val="16"/>
              </w:rPr>
              <w:t>1000×1600</w:t>
            </w:r>
          </w:p>
        </w:tc>
        <w:tc>
          <w:tcPr>
            <w:tcW w:type="dxa" w:w="1806"/>
            <w:tcMar>
              <w:top w:w="60" w:type="dxa"/>
              <w:bottom w:w="60" w:type="dxa"/>
              <w:left w:w="80" w:type="dxa"/>
              <w:right w:w="80" w:type="dxa"/>
            </w:tcMar>
          </w:tcPr>
          <w:p>
            <w:pPr>
              <w:jc w:val="center"/>
            </w:pPr>
            <w:r>
              <w:rPr>
                <w:sz w:val="16"/>
              </w:rPr>
              <w:t>Illumination Falloff, Faded Moveable Type</w:t>
            </w:r>
          </w:p>
        </w:tc>
        <w:tc>
          <w:tcPr>
            <w:tcW w:type="dxa" w:w="1806"/>
            <w:tcMar>
              <w:top w:w="60" w:type="dxa"/>
              <w:bottom w:w="60" w:type="dxa"/>
              <w:left w:w="80" w:type="dxa"/>
              <w:right w:w="80" w:type="dxa"/>
            </w:tcMar>
          </w:tcPr>
          <w:p>
            <w:pPr>
              <w:jc w:val="center"/>
            </w:pPr>
            <w:r>
              <w:rPr>
                <w:sz w:val="16"/>
              </w:rPr>
              <w:t>4.54 dB</w:t>
            </w:r>
          </w:p>
        </w:tc>
        <w:tc>
          <w:tcPr>
            <w:tcW w:type="dxa" w:w="1806"/>
            <w:tcMar>
              <w:top w:w="60" w:type="dxa"/>
              <w:bottom w:w="60" w:type="dxa"/>
              <w:left w:w="80" w:type="dxa"/>
              <w:right w:w="80" w:type="dxa"/>
            </w:tcMar>
          </w:tcPr>
          <w:p>
            <w:pPr>
              <w:jc w:val="center"/>
            </w:pPr>
            <w:r>
              <w:rPr>
                <w:sz w:val="16"/>
              </w:rPr>
              <w:t>0.2978</w:t>
            </w:r>
          </w:p>
        </w:tc>
      </w:tr>
    </w:tbl>
    <w:p>
      <w:pPr>
        <w:spacing w:line="252" w:lineRule="auto" w:after="60" w:before="0"/>
        <w:ind w:firstLine="288"/>
        <w:jc w:val="both"/>
      </w:pPr>
      <w:r>
        <w:rPr>
          <w:rFonts w:ascii="Times New Roman" w:hAnsi="Times New Roman"/>
          <w:b/>
          <w:sz w:val="22"/>
        </w:rPr>
        <w:t xml:space="preserve">Metric Interpretation: </w:t>
      </w:r>
      <w:r>
        <w:rPr>
          <w:rFonts w:ascii="Times New Roman" w:hAnsi="Times New Roman"/>
          <w:i w:val="0"/>
          <w:sz w:val="22"/>
        </w:rPr>
        <w:t>Lower PSNR against unprocessed scans is desirable in document restoration. Degraded scans contain large stained regions (intensity 80–160) that the pipeline maps to pure white (255). This deliberate alteration produces large numerical MSE but drastically improves visual legibility and stroke-to-background contrast.</w:t>
      </w:r>
    </w:p>
    <w:p>
      <w:pPr>
        <w:keepNext/>
        <w:spacing w:before="120" w:after="40"/>
        <w:jc w:val="left"/>
      </w:pPr>
      <w:r>
        <w:rPr>
          <w:rFonts w:ascii="Times New Roman" w:hAnsi="Times New Roman"/>
          <w:b/>
          <w:i/>
          <w:color w:val="1E1E1E"/>
          <w:sz w:val="22"/>
        </w:rPr>
        <w:t>III.C. Comparative Evaluation of Binarization Algorithms</w:t>
      </w:r>
    </w:p>
    <w:p>
      <w:pPr>
        <w:spacing w:line="252" w:lineRule="auto" w:after="60" w:before="0"/>
        <w:ind w:firstLine="288"/>
        <w:jc w:val="both"/>
      </w:pPr>
      <w:r>
        <w:rPr>
          <w:rFonts w:ascii="Times New Roman" w:hAnsi="Times New Roman"/>
          <w:i w:val="0"/>
          <w:sz w:val="22"/>
        </w:rPr>
        <w:t>Our O(1) Sauvola algorithm was compared against four standard binarization methods across all historical manuscripts:</w:t>
      </w:r>
    </w:p>
    <w:p>
      <w:pPr>
        <w:spacing w:before="80" w:after="40"/>
        <w:jc w:val="center"/>
      </w:pPr>
      <w:r>
        <w:rPr>
          <w:rFonts w:ascii="Times New Roman" w:hAnsi="Times New Roman"/>
          <w:b/>
          <w:sz w:val="19"/>
        </w:rPr>
        <w:t>TABLE II: Algorithmic Comparison of Binarization Paradigms</w:t>
      </w:r>
    </w:p>
    <w:tbl>
      <w:tblPr>
        <w:tblW w:type="auto" w:w="0"/>
        <w:jc w:val="center"/>
        <w:tblLook w:firstColumn="1" w:firstRow="1" w:lastColumn="0" w:lastRow="0" w:noHBand="0" w:noVBand="1" w:val="04A0"/>
      </w:tblPr>
      <w:tblGrid>
        <w:gridCol w:w="2257"/>
        <w:gridCol w:w="2257"/>
        <w:gridCol w:w="2257"/>
        <w:gridCol w:w="2257"/>
      </w:tblGrid>
      <w:tr>
        <w:tc>
          <w:tcPr>
            <w:tcW w:type="dxa" w:w="2257"/>
            <w:shd w:fill="1E3A5F"/>
            <w:tcMar>
              <w:top w:w="60" w:type="dxa"/>
              <w:bottom w:w="60" w:type="dxa"/>
              <w:left w:w="80" w:type="dxa"/>
              <w:right w:w="80" w:type="dxa"/>
            </w:tcMar>
          </w:tcPr>
          <w:p>
            <w:pPr>
              <w:jc w:val="center"/>
            </w:pPr>
            <w:r>
              <w:rPr>
                <w:b/>
                <w:color w:val="FFFFFF"/>
                <w:sz w:val="17"/>
              </w:rPr>
              <w:t>Algorithm</w:t>
            </w:r>
          </w:p>
        </w:tc>
        <w:tc>
          <w:tcPr>
            <w:tcW w:type="dxa" w:w="2257"/>
            <w:shd w:fill="1E3A5F"/>
            <w:tcMar>
              <w:top w:w="60" w:type="dxa"/>
              <w:bottom w:w="60" w:type="dxa"/>
              <w:left w:w="80" w:type="dxa"/>
              <w:right w:w="80" w:type="dxa"/>
            </w:tcMar>
          </w:tcPr>
          <w:p>
            <w:pPr>
              <w:jc w:val="center"/>
            </w:pPr>
            <w:r>
              <w:rPr>
                <w:b/>
                <w:color w:val="FFFFFF"/>
                <w:sz w:val="17"/>
              </w:rPr>
              <w:t>Threshold Scope</w:t>
            </w:r>
          </w:p>
        </w:tc>
        <w:tc>
          <w:tcPr>
            <w:tcW w:type="dxa" w:w="2257"/>
            <w:shd w:fill="1E3A5F"/>
            <w:tcMar>
              <w:top w:w="60" w:type="dxa"/>
              <w:bottom w:w="60" w:type="dxa"/>
              <w:left w:w="80" w:type="dxa"/>
              <w:right w:w="80" w:type="dxa"/>
            </w:tcMar>
          </w:tcPr>
          <w:p>
            <w:pPr>
              <w:jc w:val="center"/>
            </w:pPr>
            <w:r>
              <w:rPr>
                <w:b/>
                <w:color w:val="FFFFFF"/>
                <w:sz w:val="17"/>
              </w:rPr>
              <w:t>Non-Uniform Lighting</w:t>
            </w:r>
          </w:p>
        </w:tc>
        <w:tc>
          <w:tcPr>
            <w:tcW w:type="dxa" w:w="2257"/>
            <w:shd w:fill="1E3A5F"/>
            <w:tcMar>
              <w:top w:w="60" w:type="dxa"/>
              <w:bottom w:w="60" w:type="dxa"/>
              <w:left w:w="80" w:type="dxa"/>
              <w:right w:w="80" w:type="dxa"/>
            </w:tcMar>
          </w:tcPr>
          <w:p>
            <w:pPr>
              <w:jc w:val="center"/>
            </w:pPr>
            <w:r>
              <w:rPr>
                <w:b/>
                <w:color w:val="FFFFFF"/>
                <w:sz w:val="17"/>
              </w:rPr>
              <w:t>Bleed-Through Handling</w:t>
            </w:r>
          </w:p>
        </w:tc>
      </w:tr>
      <w:tr>
        <w:tc>
          <w:tcPr>
            <w:tcW w:type="dxa" w:w="2257"/>
            <w:tcMar>
              <w:top w:w="60" w:type="dxa"/>
              <w:bottom w:w="60" w:type="dxa"/>
              <w:left w:w="80" w:type="dxa"/>
              <w:right w:w="80" w:type="dxa"/>
            </w:tcMar>
          </w:tcPr>
          <w:p>
            <w:pPr>
              <w:jc w:val="center"/>
            </w:pPr>
            <w:r>
              <w:rPr>
                <w:sz w:val="16"/>
              </w:rPr>
              <w:t>Otsu's Method [2]</w:t>
            </w:r>
          </w:p>
        </w:tc>
        <w:tc>
          <w:tcPr>
            <w:tcW w:type="dxa" w:w="2257"/>
            <w:tcMar>
              <w:top w:w="60" w:type="dxa"/>
              <w:bottom w:w="60" w:type="dxa"/>
              <w:left w:w="80" w:type="dxa"/>
              <w:right w:w="80" w:type="dxa"/>
            </w:tcMar>
          </w:tcPr>
          <w:p>
            <w:pPr>
              <w:jc w:val="center"/>
            </w:pPr>
            <w:r>
              <w:rPr>
                <w:sz w:val="16"/>
              </w:rPr>
              <w:t>Global</w:t>
            </w:r>
          </w:p>
        </w:tc>
        <w:tc>
          <w:tcPr>
            <w:tcW w:type="dxa" w:w="2257"/>
            <w:tcMar>
              <w:top w:w="60" w:type="dxa"/>
              <w:bottom w:w="60" w:type="dxa"/>
              <w:left w:w="80" w:type="dxa"/>
              <w:right w:w="80" w:type="dxa"/>
            </w:tcMar>
          </w:tcPr>
          <w:p>
            <w:pPr>
              <w:jc w:val="center"/>
            </w:pPr>
            <w:r>
              <w:rPr>
                <w:sz w:val="16"/>
              </w:rPr>
              <w:t>Fails (stains turn solid black)</w:t>
            </w:r>
          </w:p>
        </w:tc>
        <w:tc>
          <w:tcPr>
            <w:tcW w:type="dxa" w:w="2257"/>
            <w:tcMar>
              <w:top w:w="60" w:type="dxa"/>
              <w:bottom w:w="60" w:type="dxa"/>
              <w:left w:w="80" w:type="dxa"/>
              <w:right w:w="80" w:type="dxa"/>
            </w:tcMar>
          </w:tcPr>
          <w:p>
            <w:pPr>
              <w:jc w:val="center"/>
            </w:pPr>
            <w:r>
              <w:rPr>
                <w:sz w:val="16"/>
              </w:rPr>
              <w:t>Very Poor</w:t>
            </w:r>
          </w:p>
        </w:tc>
      </w:tr>
      <w:tr>
        <w:tc>
          <w:tcPr>
            <w:tcW w:type="dxa" w:w="2257"/>
            <w:tcMar>
              <w:top w:w="60" w:type="dxa"/>
              <w:bottom w:w="60" w:type="dxa"/>
              <w:left w:w="80" w:type="dxa"/>
              <w:right w:w="80" w:type="dxa"/>
            </w:tcMar>
            <w:shd w:fill="F4F6F9"/>
          </w:tcPr>
          <w:p>
            <w:pPr>
              <w:jc w:val="center"/>
            </w:pPr>
            <w:r>
              <w:rPr>
                <w:sz w:val="16"/>
              </w:rPr>
              <w:t>Adaptive Mean</w:t>
            </w:r>
          </w:p>
        </w:tc>
        <w:tc>
          <w:tcPr>
            <w:tcW w:type="dxa" w:w="2257"/>
            <w:tcMar>
              <w:top w:w="60" w:type="dxa"/>
              <w:bottom w:w="60" w:type="dxa"/>
              <w:left w:w="80" w:type="dxa"/>
              <w:right w:w="80" w:type="dxa"/>
            </w:tcMar>
            <w:shd w:fill="F4F6F9"/>
          </w:tcPr>
          <w:p>
            <w:pPr>
              <w:jc w:val="center"/>
            </w:pPr>
            <w:r>
              <w:rPr>
                <w:sz w:val="16"/>
              </w:rPr>
              <w:t>Local</w:t>
            </w:r>
          </w:p>
        </w:tc>
        <w:tc>
          <w:tcPr>
            <w:tcW w:type="dxa" w:w="2257"/>
            <w:tcMar>
              <w:top w:w="60" w:type="dxa"/>
              <w:bottom w:w="60" w:type="dxa"/>
              <w:left w:w="80" w:type="dxa"/>
              <w:right w:w="80" w:type="dxa"/>
            </w:tcMar>
            <w:shd w:fill="F4F6F9"/>
          </w:tcPr>
          <w:p>
            <w:pPr>
              <w:jc w:val="center"/>
            </w:pPr>
            <w:r>
              <w:rPr>
                <w:sz w:val="16"/>
              </w:rPr>
              <w:t>Moderate</w:t>
            </w:r>
          </w:p>
        </w:tc>
        <w:tc>
          <w:tcPr>
            <w:tcW w:type="dxa" w:w="2257"/>
            <w:tcMar>
              <w:top w:w="60" w:type="dxa"/>
              <w:bottom w:w="60" w:type="dxa"/>
              <w:left w:w="80" w:type="dxa"/>
              <w:right w:w="80" w:type="dxa"/>
            </w:tcMar>
            <w:shd w:fill="F4F6F9"/>
          </w:tcPr>
          <w:p>
            <w:pPr>
              <w:jc w:val="center"/>
            </w:pPr>
            <w:r>
              <w:rPr>
                <w:sz w:val="16"/>
              </w:rPr>
              <w:t>Poor (erases faint strokes)</w:t>
            </w:r>
          </w:p>
        </w:tc>
      </w:tr>
      <w:tr>
        <w:tc>
          <w:tcPr>
            <w:tcW w:type="dxa" w:w="2257"/>
            <w:tcMar>
              <w:top w:w="60" w:type="dxa"/>
              <w:bottom w:w="60" w:type="dxa"/>
              <w:left w:w="80" w:type="dxa"/>
              <w:right w:w="80" w:type="dxa"/>
            </w:tcMar>
          </w:tcPr>
          <w:p>
            <w:pPr>
              <w:jc w:val="center"/>
            </w:pPr>
            <w:r>
              <w:rPr>
                <w:sz w:val="16"/>
              </w:rPr>
              <w:t>Adaptive Gaussian</w:t>
            </w:r>
          </w:p>
        </w:tc>
        <w:tc>
          <w:tcPr>
            <w:tcW w:type="dxa" w:w="2257"/>
            <w:tcMar>
              <w:top w:w="60" w:type="dxa"/>
              <w:bottom w:w="60" w:type="dxa"/>
              <w:left w:w="80" w:type="dxa"/>
              <w:right w:w="80" w:type="dxa"/>
            </w:tcMar>
          </w:tcPr>
          <w:p>
            <w:pPr>
              <w:jc w:val="center"/>
            </w:pPr>
            <w:r>
              <w:rPr>
                <w:sz w:val="16"/>
              </w:rPr>
              <w:t>Local</w:t>
            </w:r>
          </w:p>
        </w:tc>
        <w:tc>
          <w:tcPr>
            <w:tcW w:type="dxa" w:w="2257"/>
            <w:tcMar>
              <w:top w:w="60" w:type="dxa"/>
              <w:bottom w:w="60" w:type="dxa"/>
              <w:left w:w="80" w:type="dxa"/>
              <w:right w:w="80" w:type="dxa"/>
            </w:tcMar>
          </w:tcPr>
          <w:p>
            <w:pPr>
              <w:jc w:val="center"/>
            </w:pPr>
            <w:r>
              <w:rPr>
                <w:sz w:val="16"/>
              </w:rPr>
              <w:t>Good</w:t>
            </w:r>
          </w:p>
        </w:tc>
        <w:tc>
          <w:tcPr>
            <w:tcW w:type="dxa" w:w="2257"/>
            <w:tcMar>
              <w:top w:w="60" w:type="dxa"/>
              <w:bottom w:w="60" w:type="dxa"/>
              <w:left w:w="80" w:type="dxa"/>
              <w:right w:w="80" w:type="dxa"/>
            </w:tcMar>
          </w:tcPr>
          <w:p>
            <w:pPr>
              <w:jc w:val="center"/>
            </w:pPr>
            <w:r>
              <w:rPr>
                <w:sz w:val="16"/>
              </w:rPr>
              <w:t>Fair</w:t>
            </w:r>
          </w:p>
        </w:tc>
      </w:tr>
      <w:tr>
        <w:tc>
          <w:tcPr>
            <w:tcW w:type="dxa" w:w="2257"/>
            <w:tcMar>
              <w:top w:w="60" w:type="dxa"/>
              <w:bottom w:w="60" w:type="dxa"/>
              <w:left w:w="80" w:type="dxa"/>
              <w:right w:w="80" w:type="dxa"/>
            </w:tcMar>
            <w:shd w:fill="F4F6F9"/>
          </w:tcPr>
          <w:p>
            <w:pPr>
              <w:jc w:val="center"/>
            </w:pPr>
            <w:r>
              <w:rPr>
                <w:sz w:val="16"/>
              </w:rPr>
              <w:t>Niblack's Method [3]</w:t>
            </w:r>
          </w:p>
        </w:tc>
        <w:tc>
          <w:tcPr>
            <w:tcW w:type="dxa" w:w="2257"/>
            <w:tcMar>
              <w:top w:w="60" w:type="dxa"/>
              <w:bottom w:w="60" w:type="dxa"/>
              <w:left w:w="80" w:type="dxa"/>
              <w:right w:w="80" w:type="dxa"/>
            </w:tcMar>
            <w:shd w:fill="F4F6F9"/>
          </w:tcPr>
          <w:p>
            <w:pPr>
              <w:jc w:val="center"/>
            </w:pPr>
            <w:r>
              <w:rPr>
                <w:sz w:val="16"/>
              </w:rPr>
              <w:t>Local</w:t>
            </w:r>
          </w:p>
        </w:tc>
        <w:tc>
          <w:tcPr>
            <w:tcW w:type="dxa" w:w="2257"/>
            <w:tcMar>
              <w:top w:w="60" w:type="dxa"/>
              <w:bottom w:w="60" w:type="dxa"/>
              <w:left w:w="80" w:type="dxa"/>
              <w:right w:w="80" w:type="dxa"/>
            </w:tcMar>
            <w:shd w:fill="F4F6F9"/>
          </w:tcPr>
          <w:p>
            <w:pPr>
              <w:jc w:val="center"/>
            </w:pPr>
            <w:r>
              <w:rPr>
                <w:sz w:val="16"/>
              </w:rPr>
              <w:t>Good</w:t>
            </w:r>
          </w:p>
        </w:tc>
        <w:tc>
          <w:tcPr>
            <w:tcW w:type="dxa" w:w="2257"/>
            <w:tcMar>
              <w:top w:w="60" w:type="dxa"/>
              <w:bottom w:w="60" w:type="dxa"/>
              <w:left w:w="80" w:type="dxa"/>
              <w:right w:w="80" w:type="dxa"/>
            </w:tcMar>
            <w:shd w:fill="F4F6F9"/>
          </w:tcPr>
          <w:p>
            <w:pPr>
              <w:jc w:val="center"/>
            </w:pPr>
            <w:r>
              <w:rPr>
                <w:sz w:val="16"/>
              </w:rPr>
              <w:t>Moderate (heavy background noise)</w:t>
            </w:r>
          </w:p>
        </w:tc>
      </w:tr>
      <w:tr>
        <w:tc>
          <w:tcPr>
            <w:tcW w:type="dxa" w:w="2257"/>
            <w:tcMar>
              <w:top w:w="60" w:type="dxa"/>
              <w:bottom w:w="60" w:type="dxa"/>
              <w:left w:w="80" w:type="dxa"/>
              <w:right w:w="80" w:type="dxa"/>
            </w:tcMar>
          </w:tcPr>
          <w:p>
            <w:pPr>
              <w:jc w:val="center"/>
            </w:pPr>
            <w:r>
              <w:rPr>
                <w:b/>
                <w:sz w:val="16"/>
              </w:rPr>
              <w:t>Sauvola's Method (Ours) [1]</w:t>
            </w:r>
          </w:p>
        </w:tc>
        <w:tc>
          <w:tcPr>
            <w:tcW w:type="dxa" w:w="2257"/>
            <w:tcMar>
              <w:top w:w="60" w:type="dxa"/>
              <w:bottom w:w="60" w:type="dxa"/>
              <w:left w:w="80" w:type="dxa"/>
              <w:right w:w="80" w:type="dxa"/>
            </w:tcMar>
          </w:tcPr>
          <w:p>
            <w:pPr>
              <w:jc w:val="center"/>
            </w:pPr>
            <w:r>
              <w:rPr>
                <w:b/>
                <w:sz w:val="16"/>
              </w:rPr>
              <w:t>Local O(1)</w:t>
            </w:r>
          </w:p>
        </w:tc>
        <w:tc>
          <w:tcPr>
            <w:tcW w:type="dxa" w:w="2257"/>
            <w:tcMar>
              <w:top w:w="60" w:type="dxa"/>
              <w:bottom w:w="60" w:type="dxa"/>
              <w:left w:w="80" w:type="dxa"/>
              <w:right w:w="80" w:type="dxa"/>
            </w:tcMar>
          </w:tcPr>
          <w:p>
            <w:pPr>
              <w:jc w:val="center"/>
            </w:pPr>
            <w:r>
              <w:rPr>
                <w:b/>
                <w:sz w:val="16"/>
              </w:rPr>
              <w:t>Superior</w:t>
            </w:r>
          </w:p>
        </w:tc>
        <w:tc>
          <w:tcPr>
            <w:tcW w:type="dxa" w:w="2257"/>
            <w:tcMar>
              <w:top w:w="60" w:type="dxa"/>
              <w:bottom w:w="60" w:type="dxa"/>
              <w:left w:w="80" w:type="dxa"/>
              <w:right w:w="80" w:type="dxa"/>
            </w:tcMar>
          </w:tcPr>
          <w:p>
            <w:pPr>
              <w:jc w:val="center"/>
            </w:pPr>
            <w:r>
              <w:rPr>
                <w:b/>
                <w:sz w:val="16"/>
              </w:rPr>
              <w:t>Excellent (isolated text)</w:t>
            </w:r>
          </w:p>
        </w:tc>
      </w:tr>
    </w:tbl>
    <w:p>
      <w:pPr>
        <w:spacing w:line="252" w:lineRule="auto" w:after="60" w:before="0"/>
        <w:ind w:firstLine="288"/>
        <w:jc w:val="both"/>
      </w:pPr>
      <w:r>
        <w:rPr>
          <w:rFonts w:ascii="Times New Roman" w:hAnsi="Times New Roman"/>
          <w:i w:val="0"/>
          <w:sz w:val="22"/>
        </w:rPr>
        <w:t>Otsu fails because a single global threshold classifies dark stains as foreground text. Niblack captures faint strokes but generates severe noise in clean paper areas where variance is near zero. Sauvola penalizes low-variance regions via the (s/R - 1) term, keeping clean paper white while capturing crisp strokes in high-variance text areas.</w:t>
      </w:r>
    </w:p>
    <w:p>
      <w:pPr>
        <w:keepNext/>
        <w:spacing w:before="120" w:after="40"/>
        <w:jc w:val="left"/>
      </w:pPr>
      <w:r>
        <w:rPr>
          <w:rFonts w:ascii="Times New Roman" w:hAnsi="Times New Roman"/>
          <w:b/>
          <w:i/>
          <w:color w:val="1E1E1E"/>
          <w:sz w:val="22"/>
        </w:rPr>
        <w:t>III.D. Stage-by-Stage Ablation Analysis</w:t>
      </w:r>
    </w:p>
    <w:p>
      <w:pPr>
        <w:spacing w:line="252" w:lineRule="auto" w:after="60" w:before="0"/>
        <w:ind w:firstLine="288"/>
        <w:jc w:val="both"/>
      </w:pPr>
      <w:r>
        <w:rPr>
          <w:rFonts w:ascii="Times New Roman" w:hAnsi="Times New Roman"/>
          <w:i w:val="0"/>
          <w:sz w:val="22"/>
        </w:rPr>
        <w:t>Ablation experiments demonstrated the role of each stage: (1) Border cropping eliminated false low-intensity peaks from histograms; (2) Deskewing corrected text baselines (e.g., 2.5° on synthetic); (3) Morphological division provided the single largest visual improvement by flattening 120-level illumination gradients; (4) NLM denoising suppressed paper grain without blurring character serifs; (5) CLAHE in LAB space boosted faded stroke contrast by up to 40% (Magna Carta); (6) Inpainting filled physical tears and wormholes; and (7) Post-processing sharpened edges and closed hairline fractures.</w:t>
      </w:r>
    </w:p>
    <w:p>
      <w:pPr>
        <w:keepNext/>
        <w:spacing w:before="120" w:after="40"/>
        <w:jc w:val="left"/>
      </w:pPr>
      <w:r>
        <w:rPr>
          <w:rFonts w:ascii="Times New Roman" w:hAnsi="Times New Roman"/>
          <w:b/>
          <w:i/>
          <w:color w:val="1E1E1E"/>
          <w:sz w:val="22"/>
        </w:rPr>
        <w:t>III.E. Interactive Streamlit Web Platform</w:t>
      </w:r>
    </w:p>
    <w:p>
      <w:pPr>
        <w:spacing w:line="252" w:lineRule="auto" w:after="60" w:before="0"/>
        <w:ind w:firstLine="288"/>
        <w:jc w:val="both"/>
      </w:pPr>
      <w:r>
        <w:rPr>
          <w:rFonts w:ascii="Times New Roman" w:hAnsi="Times New Roman"/>
          <w:i w:val="0"/>
          <w:sz w:val="22"/>
        </w:rPr>
        <w:t>The pipeline is deployed as an interactive Streamlit application (app.py) featuring: (1) real-time sidebar controls for all 8 stages; (2) an interactive Juxtapose before-and-after split slider with PNG export; (3) stage-by-stage intermediate galleries; (4) a binarization comparison matrix rendering all five methods side-by-side; and (5) real-time PSNR/SSIM cards with intensity histograms.</w:t>
      </w:r>
    </w:p>
    <w:p>
      <w:pPr>
        <w:keepNext/>
        <w:spacing w:before="160" w:after="40"/>
        <w:jc w:val="center"/>
      </w:pPr>
      <w:r>
        <w:rPr>
          <w:rFonts w:ascii="Times New Roman" w:hAnsi="Times New Roman"/>
          <w:b/>
          <w:color w:val="14234B"/>
          <w:sz w:val="24"/>
        </w:rPr>
        <w:t>IV. CONCLUSION</w:t>
      </w:r>
    </w:p>
    <w:p>
      <w:pPr>
        <w:spacing w:line="252" w:lineRule="auto" w:after="60" w:before="0"/>
        <w:ind w:firstLine="288"/>
        <w:jc w:val="both"/>
      </w:pPr>
      <w:r>
        <w:rPr>
          <w:rFonts w:ascii="Times New Roman" w:hAnsi="Times New Roman"/>
          <w:i w:val="0"/>
          <w:sz w:val="22"/>
        </w:rPr>
        <w:t>This paper presented a complete eight-stage digital restoration system for degraded historical documents and manuscripts. By integrating boundary cropping, Radon deskewing, morphological flat-field division, edge-preserving spatial filtering, perceptual CLAHE contrast enhancement, digital inpainting, an exact O(1) box-filter Sauvola binarization algorithm, and dual morphological cleanup, the system resolves composite physical, optical, and chemical degradations.</w:t>
      </w:r>
    </w:p>
    <w:p>
      <w:pPr>
        <w:spacing w:line="252" w:lineRule="auto" w:after="60" w:before="0"/>
        <w:ind w:firstLine="288"/>
        <w:jc w:val="both"/>
      </w:pPr>
      <w:r>
        <w:rPr>
          <w:rFonts w:ascii="Times New Roman" w:hAnsi="Times New Roman"/>
          <w:i w:val="0"/>
          <w:sz w:val="22"/>
        </w:rPr>
        <w:t>Experimental evaluations on manuscripts spanning five centuries (Codex Gigas, Gutenberg Bible, US Constitution, Magna Carta) confirm that the pipeline consistently isolates fine calligraphy while normalizing complex backgrounds to clean white. The O(1) Sauvola algorithm operates 35× faster than standard implementations, delivering sub-second restoration on consumer CPUs. The accompanying Streamlit web application provides an intuitive tool for archivists and cultural heritage institutions. Future extensions will focus on end-to-end OCR integration (WER/CER metrics), deep learning super-resolution for microfilm upscaling, and multi-page batch PDF processing.</w:t>
      </w:r>
    </w:p>
    <w:p>
      <w:pPr>
        <w:keepNext/>
        <w:spacing w:before="160" w:after="40"/>
        <w:jc w:val="center"/>
      </w:pPr>
      <w:r>
        <w:rPr>
          <w:rFonts w:ascii="Times New Roman" w:hAnsi="Times New Roman"/>
          <w:b/>
          <w:color w:val="14234B"/>
          <w:sz w:val="24"/>
        </w:rPr>
        <w:t>REFERENCES</w:t>
      </w:r>
    </w:p>
    <w:p>
      <w:pPr>
        <w:spacing w:line="252" w:lineRule="auto" w:after="40"/>
        <w:ind w:left="360" w:hanging="360"/>
      </w:pPr>
      <w:r>
        <w:rPr>
          <w:rFonts w:ascii="Times New Roman" w:hAnsi="Times New Roman"/>
          <w:sz w:val="19"/>
        </w:rPr>
        <w:t>[1]  J. Sauvola and M. Pietikäinen, "Adaptive document image binarization," Pattern Recognition, vol. 33, no. 2, pp. 225–236, 2000.</w:t>
      </w:r>
    </w:p>
    <w:p>
      <w:pPr>
        <w:spacing w:line="252" w:lineRule="auto" w:after="40"/>
        <w:ind w:left="360" w:hanging="360"/>
      </w:pPr>
      <w:r>
        <w:rPr>
          <w:rFonts w:ascii="Times New Roman" w:hAnsi="Times New Roman"/>
          <w:sz w:val="19"/>
        </w:rPr>
        <w:t>[2]  N. Otsu, "A threshold selection method from gray-level histograms," IEEE Trans. Syst., Man, Cybern., vol. 9, no. 1, pp. 62–66, Jan. 1979.</w:t>
      </w:r>
    </w:p>
    <w:p>
      <w:pPr>
        <w:spacing w:line="252" w:lineRule="auto" w:after="40"/>
        <w:ind w:left="360" w:hanging="360"/>
      </w:pPr>
      <w:r>
        <w:rPr>
          <w:rFonts w:ascii="Times New Roman" w:hAnsi="Times New Roman"/>
          <w:sz w:val="19"/>
        </w:rPr>
        <w:t>[3]  W. Niblack, An Introduction to Digital Image Processing. Englewood Cliffs, NJ: Prentice-Hall, 1986.</w:t>
      </w:r>
    </w:p>
    <w:p>
      <w:pPr>
        <w:spacing w:line="252" w:lineRule="auto" w:after="40"/>
        <w:ind w:left="360" w:hanging="360"/>
      </w:pPr>
      <w:r>
        <w:rPr>
          <w:rFonts w:ascii="Times New Roman" w:hAnsi="Times New Roman"/>
          <w:sz w:val="19"/>
        </w:rPr>
        <w:t>[4]  A. Telea, "An image inpainting technique based on the fast marching method," J. Graphics Tools, vol. 9, no. 1, pp. 23–34, 2004.</w:t>
      </w:r>
    </w:p>
    <w:p>
      <w:pPr>
        <w:spacing w:line="252" w:lineRule="auto" w:after="40"/>
        <w:ind w:left="360" w:hanging="360"/>
      </w:pPr>
      <w:r>
        <w:rPr>
          <w:rFonts w:ascii="Times New Roman" w:hAnsi="Times New Roman"/>
          <w:sz w:val="19"/>
        </w:rPr>
        <w:t>[5]  M. Bertalmio, A. L. Bertozzi, and G. Sapiro, "Navier-stokes, fluid dynamics, and image and video inpainting," in Proc. IEEE CVPR, 2001.</w:t>
      </w:r>
    </w:p>
    <w:p>
      <w:pPr>
        <w:spacing w:line="252" w:lineRule="auto" w:after="40"/>
        <w:ind w:left="360" w:hanging="360"/>
      </w:pPr>
      <w:r>
        <w:rPr>
          <w:rFonts w:ascii="Times New Roman" w:hAnsi="Times New Roman"/>
          <w:sz w:val="19"/>
        </w:rPr>
        <w:t>[6]  K. Zuiderveld, "Contrast limited adaptive histogram equalization," in Graphics Gems IV. San Diego, CA: Academic Press, 1994, pp. 474–485.</w:t>
      </w:r>
    </w:p>
    <w:p>
      <w:pPr>
        <w:spacing w:line="252" w:lineRule="auto" w:after="40"/>
        <w:ind w:left="360" w:hanging="360"/>
      </w:pPr>
      <w:r>
        <w:rPr>
          <w:rFonts w:ascii="Times New Roman" w:hAnsi="Times New Roman"/>
          <w:sz w:val="19"/>
        </w:rPr>
        <w:t>[7]  A. Buades, B. Coll, and J.-M. Morel, "A non-local algorithm for image denoising," in Proc. IEEE CVPR, vol. 2, 2005, pp. 60–65.</w:t>
      </w:r>
    </w:p>
    <w:p>
      <w:pPr>
        <w:spacing w:line="252" w:lineRule="auto" w:after="40"/>
        <w:ind w:left="360" w:hanging="360"/>
      </w:pPr>
      <w:r>
        <w:rPr>
          <w:rFonts w:ascii="Times New Roman" w:hAnsi="Times New Roman"/>
          <w:sz w:val="19"/>
        </w:rPr>
        <w:t>[8]  C. Tomasi and R. Manduchi, "Bilateral filtering for gray and color images," in Proc. IEEE ICCV, 1998, pp. 839–846.</w:t>
      </w:r>
    </w:p>
    <w:p>
      <w:pPr>
        <w:spacing w:line="252" w:lineRule="auto" w:after="40"/>
        <w:ind w:left="360" w:hanging="360"/>
      </w:pPr>
      <w:r>
        <w:rPr>
          <w:rFonts w:ascii="Times New Roman" w:hAnsi="Times New Roman"/>
          <w:sz w:val="19"/>
        </w:rPr>
        <w:t>[9]  I. Pratikakis, B. Gatos, and K. Ntirogiannis, "ICDAR document image binarization contest (DIBCO)," in Int. Conf. Document Anal. Recognit., 2019.</w:t>
      </w:r>
    </w:p>
    <w:p>
      <w:pPr>
        <w:spacing w:line="252" w:lineRule="auto" w:after="40"/>
        <w:ind w:left="360" w:hanging="360"/>
      </w:pPr>
      <w:r>
        <w:rPr>
          <w:rFonts w:ascii="Times New Roman" w:hAnsi="Times New Roman"/>
          <w:sz w:val="19"/>
        </w:rPr>
        <w:t>[10] Z. Wang, A. C. Bovik, H. R. Sheikh, and E. P. Simoncelli, "Image quality assessment: From error visibility to structural similarity," IEEE Trans. Image Process., vol. 13, no. 4, pp. 600–612, Apr. 2004.</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