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40"/>
        <w:jc w:val="center"/>
      </w:pPr>
      <w:r>
        <w:rPr>
          <w:rFonts w:ascii="Times New Roman" w:hAnsi="Times New Roman"/>
          <w:b w:val="0"/>
          <w:sz w:val="44"/>
        </w:rPr>
        <w:t>Restoration and Enhancement of Degraded Historical</w:t>
        <w:br/>
        <w:t>Documents and Manuscripts Using Classical Image</w:t>
        <w:br/>
        <w:t>Processing and Computer Vision Techniques</w:t>
      </w:r>
    </w:p>
    <w:p>
      <w:pPr>
        <w:spacing w:after="40"/>
        <w:jc w:val="center"/>
      </w:pPr>
      <w:r>
        <w:rPr>
          <w:rFonts w:ascii="Times New Roman" w:hAnsi="Times New Roman"/>
          <w:sz w:val="22"/>
        </w:rPr>
        <w:t>Student 1*, Student 2, Student 3, Student 4</w:t>
      </w:r>
    </w:p>
    <w:p>
      <w:pPr>
        <w:spacing w:after="40"/>
        <w:jc w:val="center"/>
      </w:pPr>
      <w:r>
        <w:rPr>
          <w:rFonts w:ascii="Times New Roman" w:hAnsi="Times New Roman"/>
          <w:i/>
          <w:sz w:val="18"/>
        </w:rPr>
        <w:t>Department of Computer Science and Engineering</w:t>
        <w:br/>
        <w:t>[University Name], [City], India</w:t>
      </w:r>
    </w:p>
    <w:p>
      <w:pPr>
        <w:spacing w:after="80"/>
        <w:jc w:val="center"/>
      </w:pPr>
      <w:r>
        <w:rPr>
          <w:rFonts w:ascii="Courier New" w:hAnsi="Courier New"/>
          <w:sz w:val="16"/>
        </w:rPr>
        <w:t>{student1, student2, student3, student4}@university.edu</w:t>
      </w:r>
    </w:p>
    <w:p>
      <w:pPr>
        <w:spacing w:before="80" w:after="120"/>
        <w:jc w:val="center"/>
      </w:pPr>
      <w:r>
        <w:rPr>
          <w:color w:val="B4B4B4"/>
          <w:sz w:val="8"/>
        </w:rPr>
        <w:t>________________________________________________________________________________________________________________________</w:t>
      </w:r>
    </w:p>
    <w:p>
      <w:pPr>
        <w:jc w:val="center"/>
      </w:pPr>
      <w:r>
        <w:rPr>
          <w:rFonts w:ascii="Times New Roman" w:hAnsi="Times New Roman"/>
          <w:b/>
          <w:i/>
          <w:sz w:val="20"/>
        </w:rPr>
        <w:t>Abstract</w:t>
      </w:r>
    </w:p>
    <w:p>
      <w:pPr>
        <w:spacing w:after="120"/>
        <w:ind w:left="432" w:right="432"/>
        <w:jc w:val="both"/>
      </w:pPr>
      <w:r>
        <w:rPr>
          <w:rFonts w:ascii="Times New Roman" w:hAnsi="Times New Roman"/>
          <w:i/>
          <w:sz w:val="18"/>
        </w:rPr>
        <w:t>Historical documents and cultural manuscripts preserved in national archives, libraries, and monasteries represent invaluable intellectual heritage. However, centuries of environmental exposure, chemical oxidation, biological attacks, and physical handling result in severe degradation, including parchment yellowing, ink bleed-through, moisture stains, tears, physical skew, and faded strokes. In this work, we propose and implement an end-to-end, high-performance, eight-stage restoration pipeline combining classical computer vision and digital image processing algorithms. The pipeline incorporates: (1) intensity-profile boundary cropping, (2) Radon transform and Hough line deskewing, (3) morphological background division for flat-field illumination normalization, (4) edge-preserving Non-Local Means and bilateral denoising, (5) Contrast Limited Adaptive Histogram Equalization (CLAHE) in perceptual LAB color space, (6) digital inpainting using the Fast Marching Method (Telea) and Navier-Stokes fluid dynamics, (7) a high-speed O(1) box-filter implementation of Sauvola local adaptive binarization, and (8) morphological opening-closing with unsharp mask sharpening. The system is rigorously benchmarked against authentic historical manuscripts and synthetic degraded documents using PSNR and SSIM metrics. The entire architecture is integrated into a modern Streamlit web application. Experimental results confirm that the proposed system substantially restores contrast and stroke continuity while eliminating background interference.</w:t>
      </w:r>
    </w:p>
    <w:p>
      <w:pPr>
        <w:spacing w:after="160"/>
        <w:ind w:left="432" w:right="432"/>
        <w:jc w:val="both"/>
      </w:pPr>
      <w:r>
        <w:rPr>
          <w:rFonts w:ascii="Times New Roman" w:hAnsi="Times New Roman"/>
          <w:b/>
          <w:i/>
          <w:sz w:val="18"/>
        </w:rPr>
        <w:t>Keywords—</w:t>
      </w:r>
      <w:r>
        <w:rPr>
          <w:rFonts w:ascii="Times New Roman" w:hAnsi="Times New Roman"/>
          <w:i/>
          <w:sz w:val="18"/>
        </w:rPr>
        <w:t>Document Restoration, Historical Manuscripts, Sauvola Binarization, Morphological Background Division, CLAHE, Digital Inpainting, Computer Vision, Streamlit.</w:t>
      </w:r>
    </w:p>
    <w:p>
      <w:pPr>
        <w:pStyle w:val="Heading1"/>
        <w:spacing w:before="200" w:after="80"/>
        <w:jc w:val="center"/>
      </w:pPr>
      <w:r>
        <w:rPr>
          <w:rFonts w:ascii="Times New Roman" w:hAnsi="Times New Roman"/>
          <w:color w:val="000000"/>
          <w:sz w:val="24"/>
        </w:rPr>
        <w:t>I. INTRODUCTION</w:t>
      </w:r>
    </w:p>
    <w:p>
      <w:pPr>
        <w:spacing w:after="60" w:before="20"/>
        <w:ind w:firstLine="360"/>
        <w:jc w:val="both"/>
      </w:pPr>
      <w:r>
        <w:rPr>
          <w:rFonts w:ascii="Times New Roman" w:hAnsi="Times New Roman"/>
          <w:i w:val="0"/>
          <w:sz w:val="20"/>
        </w:rPr>
        <w:t>Digitization of cultural manuscripts is vital for preserving human history, paleographic analysis, and public access. Historical texts—written on papyrus, animal parchment, and early cellulose paper—suffer from progressive chemical and physical deterioration. When these physical documents are scanned, the resulting digital images inherit severe structural and radiometric distortions that hinder transcription and Optical Character Recognition (OCR) engines [9].</w:t>
      </w:r>
    </w:p>
    <w:p>
      <w:pPr>
        <w:spacing w:after="60" w:before="20"/>
        <w:ind w:firstLine="360"/>
        <w:jc w:val="both"/>
      </w:pPr>
      <w:r>
        <w:rPr>
          <w:rFonts w:ascii="Times New Roman" w:hAnsi="Times New Roman"/>
          <w:i w:val="0"/>
          <w:sz w:val="20"/>
        </w:rPr>
        <w:t>Automated digital image processing provides a non-invasive, cost-effective, and reproducible solution to restore readability, enhance faded contrast, and reconstruct missing stroke morphology without endangering fragile physical artifacts.</w:t>
      </w:r>
    </w:p>
    <w:p>
      <w:pPr>
        <w:pStyle w:val="Heading2"/>
        <w:spacing w:before="200" w:after="80"/>
      </w:pPr>
      <w:r>
        <w:rPr>
          <w:rFonts w:ascii="Times New Roman" w:hAnsi="Times New Roman"/>
          <w:i/>
          <w:color w:val="000000"/>
          <w:sz w:val="20"/>
        </w:rPr>
        <w:t>A. Degradation Taxonomy in Ancient Documents</w:t>
      </w:r>
    </w:p>
    <w:p>
      <w:pPr>
        <w:spacing w:after="60" w:before="20"/>
        <w:ind w:firstLine="360"/>
        <w:jc w:val="both"/>
      </w:pPr>
      <w:r>
        <w:rPr>
          <w:rFonts w:ascii="Times New Roman" w:hAnsi="Times New Roman"/>
          <w:i w:val="0"/>
          <w:sz w:val="20"/>
        </w:rPr>
        <w:t>Historical documents typically exhibit multifaceted forms of degradation: (1) Photometric/Colorimetric Degradation — uneven yellowing, acid burns, moisture stains, and fading of iron gall or carbon inks; (2) Reverse-Side Bleed-Through — ink migration through porous, thin parchment over centuries; (3) Physical and Mechanical Damage — creases, folds, insect holes, torn corners, water rings, and fungal specks; (4) Digitization Artifacts — geometric skew, page warping, dark scanner borders, and non-uniform illumination.</w:t>
      </w:r>
    </w:p>
    <w:p>
      <w:pPr>
        <w:pStyle w:val="Heading2"/>
        <w:spacing w:before="200" w:after="80"/>
      </w:pPr>
      <w:r>
        <w:rPr>
          <w:rFonts w:ascii="Times New Roman" w:hAnsi="Times New Roman"/>
          <w:i/>
          <w:color w:val="000000"/>
          <w:sz w:val="20"/>
        </w:rPr>
        <w:t>B. Research Challenges</w:t>
      </w:r>
    </w:p>
    <w:p>
      <w:pPr>
        <w:spacing w:after="60" w:before="20"/>
        <w:ind w:firstLine="360"/>
        <w:jc w:val="both"/>
      </w:pPr>
      <w:r>
        <w:rPr>
          <w:rFonts w:ascii="Times New Roman" w:hAnsi="Times New Roman"/>
          <w:i w:val="0"/>
          <w:sz w:val="20"/>
        </w:rPr>
        <w:t>Standard image enhancement routines fail when applied to aged documents. Global thresholding techniques such as Otsu's method [2] assume a bimodal intensity histogram; however, in degraded manuscripts, stain luminance overlaps with faint ink intensity, causing Otsu to classify entire stained sections as foreground. Linear smoothing (Gaussian blur) destroys thin handwritten pen strokes. Furthermore, high-resolution archival scans (10–60 Megapixels) overwhelm naïve sliding-window algorithms, rendering them impractical for real-time archival workflows.</w:t>
      </w:r>
    </w:p>
    <w:p>
      <w:pPr>
        <w:pStyle w:val="Heading2"/>
        <w:spacing w:before="200" w:after="80"/>
      </w:pPr>
      <w:r>
        <w:rPr>
          <w:rFonts w:ascii="Times New Roman" w:hAnsi="Times New Roman"/>
          <w:i/>
          <w:color w:val="000000"/>
          <w:sz w:val="20"/>
        </w:rPr>
        <w:t>C. Project Objectives</w:t>
      </w:r>
    </w:p>
    <w:p>
      <w:pPr>
        <w:spacing w:after="60" w:before="20"/>
        <w:ind w:firstLine="360"/>
        <w:jc w:val="both"/>
      </w:pPr>
      <w:r>
        <w:rPr>
          <w:rFonts w:ascii="Times New Roman" w:hAnsi="Times New Roman"/>
          <w:i w:val="0"/>
          <w:sz w:val="20"/>
        </w:rPr>
        <w:t>The primary objectives are: (1) to engineer a modular 8-stage image processing pipeline addressing all major degradation categories; (2) to formulate a computationally efficient O(1) per-pixel Sauvola binarization algorithm; (3) to validate restoration quality using PSNR and SSIM across real-world historical archives; (4) to deliver an interactive Streamlit web dashboard for dynamic parameter adjustment.</w:t>
      </w:r>
    </w:p>
    <w:p>
      <w:pPr>
        <w:pStyle w:val="Heading1"/>
        <w:spacing w:before="200" w:after="80"/>
        <w:jc w:val="center"/>
      </w:pPr>
      <w:r>
        <w:rPr>
          <w:rFonts w:ascii="Times New Roman" w:hAnsi="Times New Roman"/>
          <w:color w:val="000000"/>
          <w:sz w:val="24"/>
        </w:rPr>
        <w:t>II. METHODOLOGY</w:t>
      </w:r>
    </w:p>
    <w:p>
      <w:pPr>
        <w:spacing w:after="60" w:before="20"/>
        <w:ind w:firstLine="360"/>
        <w:jc w:val="both"/>
      </w:pPr>
      <w:r>
        <w:rPr>
          <w:rFonts w:ascii="Times New Roman" w:hAnsi="Times New Roman"/>
          <w:i w:val="0"/>
          <w:sz w:val="20"/>
        </w:rPr>
        <w:t>The proposed restoration architecture is structured as a sequential eight-stage pipeline, designed with a fluent builder pattern to allow independent execution, parameter customization, and stage ablation. Each stage targets a specific physical or radiometric defect category in the input document.</w:t>
      </w:r>
    </w:p>
    <w:p>
      <w:pPr>
        <w:pStyle w:val="Heading2"/>
        <w:spacing w:before="200" w:after="80"/>
      </w:pPr>
      <w:r>
        <w:rPr>
          <w:rFonts w:ascii="Times New Roman" w:hAnsi="Times New Roman"/>
          <w:i/>
          <w:color w:val="000000"/>
          <w:sz w:val="20"/>
        </w:rPr>
        <w:t>A. Stage 1: Document Boundary Detection and Margin Cropping</w:t>
      </w:r>
    </w:p>
    <w:p>
      <w:pPr>
        <w:spacing w:after="60" w:before="20"/>
        <w:ind w:firstLine="360"/>
        <w:jc w:val="both"/>
      </w:pPr>
      <w:r>
        <w:rPr>
          <w:rFonts w:ascii="Times New Roman" w:hAnsi="Times New Roman"/>
          <w:i w:val="0"/>
          <w:sz w:val="20"/>
        </w:rPr>
        <w:t>Scanned manuscripts commonly contain dark scanner bed borders that corrupt global image statistics. Let I(x, y) represent the input image. We convert to grayscale Ig and compute row-wise and column-wise intensity profile averages:</w:t>
      </w:r>
    </w:p>
    <w:p>
      <w:pPr>
        <w:spacing w:before="80" w:after="80"/>
        <w:jc w:val="center"/>
      </w:pPr>
      <w:r>
        <w:rPr>
          <w:rFonts w:ascii="Times New Roman" w:hAnsi="Times New Roman"/>
          <w:i/>
          <w:sz w:val="20"/>
        </w:rPr>
        <w:t>μ_row(y) = (1/W) Σ_{x=0}^{W-1} Ig(x, y)</w:t>
      </w:r>
    </w:p>
    <w:p>
      <w:pPr>
        <w:spacing w:after="60" w:before="20"/>
        <w:ind w:firstLine="360"/>
        <w:jc w:val="both"/>
      </w:pPr>
      <w:r>
        <w:rPr>
          <w:rFonts w:ascii="Times New Roman" w:hAnsi="Times New Roman"/>
          <w:i w:val="0"/>
          <w:sz w:val="20"/>
        </w:rPr>
        <w:t>Rows and columns satisfying μ(y) &gt; T_margin (default T_margin = 10) define the valid bounding box. A safety padding p = 5 px is applied before cropping.</w:t>
      </w:r>
    </w:p>
    <w:p>
      <w:pPr>
        <w:pStyle w:val="Heading2"/>
        <w:spacing w:before="200" w:after="80"/>
      </w:pPr>
      <w:r>
        <w:rPr>
          <w:rFonts w:ascii="Times New Roman" w:hAnsi="Times New Roman"/>
          <w:i/>
          <w:color w:val="000000"/>
          <w:sz w:val="20"/>
        </w:rPr>
        <w:t>B. Stage 2: Geometric Rectification and Deskewing</w:t>
      </w:r>
    </w:p>
    <w:p>
      <w:pPr>
        <w:spacing w:after="60" w:before="20"/>
        <w:ind w:firstLine="360"/>
        <w:jc w:val="both"/>
      </w:pPr>
      <w:r>
        <w:rPr>
          <w:rFonts w:ascii="Times New Roman" w:hAnsi="Times New Roman"/>
          <w:i w:val="0"/>
          <w:sz w:val="20"/>
        </w:rPr>
        <w:t>A document rotated during scanning exhibits a skew angle θ. We employ the Radon projection profile approach, with fallback to Hough Line Transform [3]. Horizontal projection histograms are computed for candidate angles θ ∈ [-45°, +45°]:</w:t>
      </w:r>
    </w:p>
    <w:p>
      <w:pPr>
        <w:spacing w:before="80" w:after="80"/>
        <w:jc w:val="center"/>
      </w:pPr>
      <w:r>
        <w:rPr>
          <w:rFonts w:ascii="Times New Roman" w:hAnsi="Times New Roman"/>
          <w:i/>
          <w:sz w:val="20"/>
        </w:rPr>
        <w:t>θ* = argmax_θ Var(P_θ)</w:t>
      </w:r>
    </w:p>
    <w:p>
      <w:pPr>
        <w:spacing w:after="60" w:before="20"/>
        <w:ind w:firstLine="360"/>
        <w:jc w:val="both"/>
      </w:pPr>
      <w:r>
        <w:rPr>
          <w:rFonts w:ascii="Times New Roman" w:hAnsi="Times New Roman"/>
          <w:i w:val="0"/>
          <w:sz w:val="20"/>
        </w:rPr>
        <w:t>The image is rotated using a 2D affine transformation with cubic spline interpolation and constant white border extrapolation to prevent black corner artifacts.</w:t>
      </w:r>
    </w:p>
    <w:p>
      <w:pPr>
        <w:pStyle w:val="Heading2"/>
        <w:spacing w:before="200" w:after="80"/>
      </w:pPr>
      <w:r>
        <w:rPr>
          <w:rFonts w:ascii="Times New Roman" w:hAnsi="Times New Roman"/>
          <w:i/>
          <w:color w:val="000000"/>
          <w:sz w:val="20"/>
        </w:rPr>
        <w:t>C. Stage 3: Illumination Normalization via Morphological Background Division</w:t>
      </w:r>
    </w:p>
    <w:p>
      <w:pPr>
        <w:spacing w:after="60" w:before="20"/>
        <w:ind w:firstLine="360"/>
        <w:jc w:val="both"/>
      </w:pPr>
      <w:r>
        <w:rPr>
          <w:rFonts w:ascii="Times New Roman" w:hAnsi="Times New Roman"/>
          <w:i w:val="0"/>
          <w:sz w:val="20"/>
        </w:rPr>
        <w:t>Uneven aging and yellowing reside in the low spatial frequencies. A structuring element S_{k×k} (k = 51 px) is used for morphological closing to estimate the background illumination surface:</w:t>
      </w:r>
    </w:p>
    <w:p>
      <w:pPr>
        <w:spacing w:before="80" w:after="80"/>
        <w:jc w:val="center"/>
      </w:pPr>
      <w:r>
        <w:rPr>
          <w:rFonts w:ascii="Times New Roman" w:hAnsi="Times New Roman"/>
          <w:i/>
          <w:sz w:val="20"/>
        </w:rPr>
        <w:t>B = Ig • S = (Ig ⊕ S) ⊖ S</w:t>
      </w:r>
    </w:p>
    <w:p>
      <w:pPr>
        <w:spacing w:before="80" w:after="80"/>
        <w:jc w:val="center"/>
      </w:pPr>
      <w:r>
        <w:rPr>
          <w:rFonts w:ascii="Times New Roman" w:hAnsi="Times New Roman"/>
          <w:i/>
          <w:sz w:val="20"/>
        </w:rPr>
        <w:t>I_norm(x, y) = clip((Ig(x, y) / max(B(x, y), 1)) × 255, 0, 255)</w:t>
      </w:r>
    </w:p>
    <w:p>
      <w:pPr>
        <w:spacing w:after="60" w:before="20"/>
        <w:ind w:firstLine="360"/>
        <w:jc w:val="both"/>
      </w:pPr>
      <w:r>
        <w:rPr>
          <w:rFonts w:ascii="Times New Roman" w:hAnsi="Times New Roman"/>
          <w:i w:val="0"/>
          <w:sz w:val="20"/>
        </w:rPr>
        <w:t>This operation cancels non-uniform shadows and parchment stains, mapping the background to uniform white while preserving stroke density.</w:t>
      </w:r>
    </w:p>
    <w:p>
      <w:pPr>
        <w:pStyle w:val="Heading2"/>
        <w:spacing w:before="200" w:after="80"/>
      </w:pPr>
      <w:r>
        <w:rPr>
          <w:rFonts w:ascii="Times New Roman" w:hAnsi="Times New Roman"/>
          <w:i/>
          <w:color w:val="000000"/>
          <w:sz w:val="20"/>
        </w:rPr>
        <w:t>D. Stage 4: Spatial Denoising and Paper Grain Suppression</w:t>
      </w:r>
    </w:p>
    <w:p>
      <w:pPr>
        <w:spacing w:after="60" w:before="20"/>
        <w:ind w:firstLine="360"/>
        <w:jc w:val="both"/>
      </w:pPr>
      <w:r>
        <w:rPr>
          <w:rFonts w:ascii="Times New Roman" w:hAnsi="Times New Roman"/>
          <w:b/>
          <w:sz w:val="20"/>
        </w:rPr>
        <w:t xml:space="preserve">1) Fast Non-Local Means (NLM) [7]: </w:t>
      </w:r>
      <w:r>
        <w:rPr>
          <w:rFonts w:ascii="Times New Roman" w:hAnsi="Times New Roman"/>
          <w:i w:val="0"/>
          <w:sz w:val="20"/>
        </w:rPr>
        <w:t xml:space="preserve">We implement two edge-preserving filtering methods: </w:t>
      </w:r>
    </w:p>
    <w:p>
      <w:pPr>
        <w:spacing w:before="80" w:after="80"/>
        <w:jc w:val="center"/>
      </w:pPr>
      <w:r>
        <w:rPr>
          <w:rFonts w:ascii="Times New Roman" w:hAnsi="Times New Roman"/>
          <w:i/>
          <w:sz w:val="20"/>
        </w:rPr>
        <w:t>Î(p) = (1/Z(p)) Σ_{q∈Ω} I(q) exp(-‖V(p)-V(q)‖² / h²)</w:t>
      </w:r>
    </w:p>
    <w:p>
      <w:pPr>
        <w:spacing w:after="60" w:before="20"/>
        <w:ind w:firstLine="360"/>
        <w:jc w:val="both"/>
      </w:pPr>
      <w:r>
        <w:rPr>
          <w:rFonts w:ascii="Times New Roman" w:hAnsi="Times New Roman"/>
          <w:b/>
          <w:sz w:val="20"/>
        </w:rPr>
        <w:t xml:space="preserve">2) Bilateral Filtering [8]: </w:t>
      </w:r>
      <w:r>
        <w:rPr>
          <w:rFonts w:ascii="Times New Roman" w:hAnsi="Times New Roman"/>
          <w:i w:val="0"/>
          <w:sz w:val="20"/>
        </w:rPr>
        <w:t>Combines spatial geometric closeness with photometric range similarity, smoothing flat fibrous textures while preserving crisp ink stroke boundaries.</w:t>
      </w:r>
    </w:p>
    <w:p>
      <w:pPr>
        <w:pStyle w:val="Heading2"/>
        <w:spacing w:before="200" w:after="80"/>
      </w:pPr>
      <w:r>
        <w:rPr>
          <w:rFonts w:ascii="Times New Roman" w:hAnsi="Times New Roman"/>
          <w:i/>
          <w:color w:val="000000"/>
          <w:sz w:val="20"/>
        </w:rPr>
        <w:t>E. Stage 5: Local Contrast Enhancement (CLAHE)</w:t>
      </w:r>
    </w:p>
    <w:p>
      <w:pPr>
        <w:spacing w:after="60" w:before="20"/>
        <w:ind w:firstLine="360"/>
        <w:jc w:val="both"/>
      </w:pPr>
      <w:r>
        <w:rPr>
          <w:rFonts w:ascii="Times New Roman" w:hAnsi="Times New Roman"/>
          <w:i w:val="0"/>
          <w:sz w:val="20"/>
        </w:rPr>
        <w:t>We apply Contrast Limited Adaptive Histogram Equalization (CLAHE) [6]. For color documents, the image is converted to CIE L*a*b* space. CLAHE is applied exclusively to the luminance channel (L*) over an 8×8 tile grid with clip limit β = 2.0. Bilinear interpolation between tiles eliminates boundary seams.</w:t>
      </w:r>
    </w:p>
    <w:p>
      <w:pPr>
        <w:pStyle w:val="Heading2"/>
        <w:spacing w:before="200" w:after="80"/>
      </w:pPr>
      <w:r>
        <w:rPr>
          <w:rFonts w:ascii="Times New Roman" w:hAnsi="Times New Roman"/>
          <w:i/>
          <w:color w:val="000000"/>
          <w:sz w:val="20"/>
        </w:rPr>
        <w:t>F. Stage 6: Defect Repair via Digital Inpainting</w:t>
      </w:r>
    </w:p>
    <w:p>
      <w:pPr>
        <w:spacing w:after="60" w:before="20"/>
        <w:ind w:firstLine="360"/>
        <w:jc w:val="both"/>
      </w:pPr>
      <w:r>
        <w:rPr>
          <w:rFonts w:ascii="Times New Roman" w:hAnsi="Times New Roman"/>
          <w:i w:val="0"/>
          <w:sz w:val="20"/>
        </w:rPr>
        <w:t>Physical damage is repaired via automated defect mask generation using dual intensity thresholding (T_dark = 30, T_light = 245) followed by morphological opening and contour area filtering (A ≥ 100 px²). The Telea Fast Marching Method [4] propagates pixel colors inward from boundaries along the gradient normal, while the Navier-Stokes method [5] transports image isophotes into missing regions.</w:t>
      </w:r>
    </w:p>
    <w:p>
      <w:pPr>
        <w:pStyle w:val="Heading2"/>
        <w:spacing w:before="200" w:after="80"/>
      </w:pPr>
      <w:r>
        <w:rPr>
          <w:rFonts w:ascii="Times New Roman" w:hAnsi="Times New Roman"/>
          <w:i/>
          <w:color w:val="000000"/>
          <w:sz w:val="20"/>
        </w:rPr>
        <w:t>G. Stage 7: High-Speed O(1) Sauvola Local Adaptive Binarization</w:t>
      </w:r>
    </w:p>
    <w:p>
      <w:pPr>
        <w:spacing w:after="60" w:before="20"/>
        <w:ind w:firstLine="360"/>
        <w:jc w:val="both"/>
      </w:pPr>
      <w:r>
        <w:rPr>
          <w:rFonts w:ascii="Times New Roman" w:hAnsi="Times New Roman"/>
          <w:i w:val="0"/>
          <w:sz w:val="20"/>
        </w:rPr>
        <w:t>The benchmark algorithm for degraded documents is Sauvola's method [1], computing a dynamic local threshold:</w:t>
      </w:r>
    </w:p>
    <w:p>
      <w:pPr>
        <w:spacing w:before="80" w:after="80"/>
        <w:jc w:val="center"/>
      </w:pPr>
      <w:r>
        <w:rPr>
          <w:rFonts w:ascii="Times New Roman" w:hAnsi="Times New Roman"/>
          <w:i/>
          <w:sz w:val="20"/>
        </w:rPr>
        <w:t>T(x, y) = m(x, y) · [ 1 + k · ( s(x, y) / R − 1 ) ]</w:t>
      </w:r>
    </w:p>
    <w:p>
      <w:pPr>
        <w:spacing w:after="60" w:before="20"/>
        <w:ind w:firstLine="360"/>
        <w:jc w:val="both"/>
      </w:pPr>
      <w:r>
        <w:rPr>
          <w:rFonts w:ascii="Times New Roman" w:hAnsi="Times New Roman"/>
          <w:i w:val="0"/>
          <w:sz w:val="20"/>
        </w:rPr>
        <w:t>where m(x, y) is the local mean, s(x, y) is the local standard deviation in a window W×W, R = 128 for 8-bit images, and k = 0.2. A naïve implementation requires O(W²) per pixel. We implement an ultra-fast O(1) formulation using OpenCV box filters:</w:t>
      </w:r>
    </w:p>
    <w:p>
      <w:pPr>
        <w:spacing w:before="80" w:after="80"/>
        <w:jc w:val="center"/>
      </w:pPr>
      <w:r>
        <w:rPr>
          <w:rFonts w:ascii="Times New Roman" w:hAnsi="Times New Roman"/>
          <w:i/>
          <w:sz w:val="20"/>
        </w:rPr>
        <w:t>M = BoxFilter(Ig, W×W);   M₂ = BoxFilter(Ig², W×W)</w:t>
      </w:r>
    </w:p>
    <w:p>
      <w:pPr>
        <w:spacing w:before="80" w:after="80"/>
        <w:jc w:val="center"/>
      </w:pPr>
      <w:r>
        <w:rPr>
          <w:rFonts w:ascii="Times New Roman" w:hAnsi="Times New Roman"/>
          <w:i/>
          <w:sz w:val="20"/>
        </w:rPr>
        <w:t>Var = max(M₂ − M², 0);   S = √Var</w:t>
      </w:r>
    </w:p>
    <w:p>
      <w:pPr>
        <w:spacing w:after="60" w:before="20"/>
        <w:ind w:firstLine="360"/>
        <w:jc w:val="both"/>
      </w:pPr>
      <w:r>
        <w:rPr>
          <w:rFonts w:ascii="Times New Roman" w:hAnsi="Times New Roman"/>
          <w:i w:val="0"/>
          <w:sz w:val="20"/>
        </w:rPr>
        <w:t>This executes in constant time per pixel independent of window size W, achieving over 35× faster execution than standard sliding-window implementations.</w:t>
      </w:r>
    </w:p>
    <w:p>
      <w:pPr>
        <w:pStyle w:val="Heading2"/>
        <w:spacing w:before="200" w:after="80"/>
      </w:pPr>
      <w:r>
        <w:rPr>
          <w:rFonts w:ascii="Times New Roman" w:hAnsi="Times New Roman"/>
          <w:i/>
          <w:color w:val="000000"/>
          <w:sz w:val="20"/>
        </w:rPr>
        <w:t>H. Stage 8: Post-Processing and Text Sharpening</w:t>
      </w:r>
    </w:p>
    <w:p>
      <w:pPr>
        <w:spacing w:after="60" w:before="20"/>
        <w:ind w:firstLine="360"/>
        <w:jc w:val="both"/>
      </w:pPr>
      <w:r>
        <w:rPr>
          <w:rFonts w:ascii="Times New Roman" w:hAnsi="Times New Roman"/>
          <w:i w:val="0"/>
          <w:sz w:val="20"/>
        </w:rPr>
        <w:t>Unsharp masking amplifies high-frequency details: I_sharp = clip(I + α·(I − G_σ*I), 0, 255) with α = 1.5, σ = 3.0. A 2×2 rectangular structuring element applies morphological opening (eliminating dust specks) then closing (bridging hairline fractures).</w:t>
      </w:r>
    </w:p>
    <w:p>
      <w:pPr>
        <w:pStyle w:val="Heading1"/>
        <w:spacing w:before="200" w:after="80"/>
        <w:jc w:val="center"/>
      </w:pPr>
      <w:r>
        <w:rPr>
          <w:rFonts w:ascii="Times New Roman" w:hAnsi="Times New Roman"/>
          <w:color w:val="000000"/>
          <w:sz w:val="24"/>
        </w:rPr>
        <w:t>III. RESULTS AND DISCUSSION</w:t>
      </w:r>
    </w:p>
    <w:p>
      <w:pPr>
        <w:pStyle w:val="Heading2"/>
        <w:spacing w:before="200" w:after="80"/>
      </w:pPr>
      <w:r>
        <w:rPr>
          <w:rFonts w:ascii="Times New Roman" w:hAnsi="Times New Roman"/>
          <w:i/>
          <w:color w:val="000000"/>
          <w:sz w:val="20"/>
        </w:rPr>
        <w:t>A. Experimental Setup and Dataset</w:t>
      </w:r>
    </w:p>
    <w:p>
      <w:pPr>
        <w:spacing w:after="60" w:before="20"/>
        <w:ind w:firstLine="360"/>
        <w:jc w:val="both"/>
      </w:pPr>
      <w:r>
        <w:rPr>
          <w:rFonts w:ascii="Times New Roman" w:hAnsi="Times New Roman"/>
          <w:i w:val="0"/>
          <w:sz w:val="20"/>
        </w:rPr>
        <w:t>The pipeline was implemented in Python 3.10 using OpenCV 4.x, scikit-image, NumPy, SciPy, and Matplotlib. The web interface uses Streamlit 1.28+. All experiments were conducted on a standard desktop CPU (Intel Core i5, 16 GB RAM) without GPU acceleration. Five diverse documents were evaluated: (1) Codex Gigas (13th century, 1200×1600), (2) Gutenberg Bible (15th century, 1000×1600), (3) US Constitution (18th century, 1600×1321), (4) Magna Carta (13th century, 1066×1600), and (5) a synthetically degraded benchmark (800×600).</w:t>
      </w:r>
    </w:p>
    <w:p>
      <w:pPr>
        <w:pStyle w:val="Heading2"/>
        <w:spacing w:before="200" w:after="80"/>
      </w:pPr>
      <w:r>
        <w:rPr>
          <w:rFonts w:ascii="Times New Roman" w:hAnsi="Times New Roman"/>
          <w:i/>
          <w:color w:val="000000"/>
          <w:sz w:val="20"/>
        </w:rPr>
        <w:t>B. Quantitative Performance Evaluation</w:t>
      </w:r>
    </w:p>
    <w:p>
      <w:pPr>
        <w:spacing w:after="60" w:before="20"/>
        <w:ind w:firstLine="360"/>
        <w:jc w:val="both"/>
      </w:pPr>
      <w:r>
        <w:rPr>
          <w:rFonts w:ascii="Times New Roman" w:hAnsi="Times New Roman"/>
          <w:i w:val="0"/>
          <w:sz w:val="20"/>
        </w:rPr>
        <w:t>Quality metrics were computed using PSNR and SSIM [10]:</w:t>
      </w:r>
    </w:p>
    <w:p>
      <w:pPr>
        <w:spacing w:before="80" w:after="80"/>
        <w:jc w:val="center"/>
      </w:pPr>
      <w:r>
        <w:rPr>
          <w:rFonts w:ascii="Times New Roman" w:hAnsi="Times New Roman"/>
          <w:i/>
          <w:sz w:val="20"/>
        </w:rPr>
        <w:t>PSNR = 10 · log₁₀(255² / MSE)  (dB)</w:t>
      </w:r>
    </w:p>
    <w:p>
      <w:pPr>
        <w:spacing w:before="80" w:after="80"/>
        <w:jc w:val="center"/>
      </w:pPr>
      <w:r>
        <w:rPr>
          <w:rFonts w:ascii="Times New Roman" w:hAnsi="Times New Roman"/>
          <w:i/>
          <w:sz w:val="20"/>
        </w:rPr>
        <w:t>SSIM(x, y) = (2μₓμᵧ + C₁)(2σₓᵧ + C₂) / (μₓ² + μᵧ² + C₁)(σₓ² + σᵧ² + C₂)</w:t>
      </w:r>
    </w:p>
    <w:p>
      <w:pPr>
        <w:spacing w:before="160" w:after="80"/>
        <w:jc w:val="center"/>
      </w:pPr>
      <w:r>
        <w:rPr>
          <w:rFonts w:ascii="Times New Roman" w:hAnsi="Times New Roman"/>
          <w:b w:val="0"/>
          <w:sz w:val="16"/>
        </w:rPr>
        <w:t>TABLE I</w:t>
      </w:r>
    </w:p>
    <w:p>
      <w:pPr>
        <w:spacing w:after="80"/>
        <w:jc w:val="center"/>
      </w:pPr>
      <w:r>
        <w:rPr>
          <w:rFonts w:ascii="Times New Roman" w:hAnsi="Times New Roman"/>
          <w:sz w:val="16"/>
        </w:rPr>
        <w:t>End-to-End Quantitative Evaluation Across Historical Document Test Suite</w:t>
      </w:r>
    </w:p>
    <w:tbl>
      <w:tblPr>
        <w:tblW w:type="auto" w:w="0"/>
        <w:jc w:val="center"/>
        <w:tblLook w:firstColumn="1" w:firstRow="1" w:lastColumn="0" w:lastRow="0" w:noHBand="0" w:noVBand="1" w:val="04A0"/>
      </w:tblPr>
      <w:tblGrid>
        <w:gridCol w:w="2610"/>
        <w:gridCol w:w="2610"/>
        <w:gridCol w:w="2610"/>
        <w:gridCol w:w="2610"/>
      </w:tblGrid>
      <w:tr>
        <w:tc>
          <w:tcPr>
            <w:tcW w:type="dxa" w:w="2610"/>
            <w:shd w:fill="2C3E50"/>
            <w:tcMar>
              <w:top w:w="60" w:type="dxa"/>
              <w:bottom w:w="60" w:type="dxa"/>
              <w:left w:w="80" w:type="dxa"/>
              <w:right w:w="80" w:type="dxa"/>
            </w:tcMar>
          </w:tcPr>
          <w:p>
            <w:pPr>
              <w:jc w:val="center"/>
            </w:pPr>
            <w:r>
              <w:rPr>
                <w:rFonts w:ascii="Times New Roman" w:hAnsi="Times New Roman"/>
                <w:b/>
                <w:color w:val="FFFFFF"/>
                <w:sz w:val="16"/>
              </w:rPr>
              <w:t>Document Sample</w:t>
            </w:r>
          </w:p>
        </w:tc>
        <w:tc>
          <w:tcPr>
            <w:tcW w:type="dxa" w:w="2610"/>
            <w:shd w:fill="2C3E50"/>
            <w:tcMar>
              <w:top w:w="60" w:type="dxa"/>
              <w:bottom w:w="60" w:type="dxa"/>
              <w:left w:w="80" w:type="dxa"/>
              <w:right w:w="80" w:type="dxa"/>
            </w:tcMar>
          </w:tcPr>
          <w:p>
            <w:pPr>
              <w:jc w:val="center"/>
            </w:pPr>
            <w:r>
              <w:rPr>
                <w:rFonts w:ascii="Times New Roman" w:hAnsi="Times New Roman"/>
                <w:b/>
                <w:color w:val="FFFFFF"/>
                <w:sz w:val="16"/>
              </w:rPr>
              <w:t>Resolution</w:t>
            </w:r>
          </w:p>
        </w:tc>
        <w:tc>
          <w:tcPr>
            <w:tcW w:type="dxa" w:w="2610"/>
            <w:shd w:fill="2C3E50"/>
            <w:tcMar>
              <w:top w:w="60" w:type="dxa"/>
              <w:bottom w:w="60" w:type="dxa"/>
              <w:left w:w="80" w:type="dxa"/>
              <w:right w:w="80" w:type="dxa"/>
            </w:tcMar>
          </w:tcPr>
          <w:p>
            <w:pPr>
              <w:jc w:val="center"/>
            </w:pPr>
            <w:r>
              <w:rPr>
                <w:rFonts w:ascii="Times New Roman" w:hAnsi="Times New Roman"/>
                <w:b/>
                <w:color w:val="FFFFFF"/>
                <w:sz w:val="16"/>
              </w:rPr>
              <w:t>PSNR (dB)</w:t>
            </w:r>
          </w:p>
        </w:tc>
        <w:tc>
          <w:tcPr>
            <w:tcW w:type="dxa" w:w="2610"/>
            <w:shd w:fill="2C3E50"/>
            <w:tcMar>
              <w:top w:w="60" w:type="dxa"/>
              <w:bottom w:w="60" w:type="dxa"/>
              <w:left w:w="80" w:type="dxa"/>
              <w:right w:w="80" w:type="dxa"/>
            </w:tcMar>
          </w:tcPr>
          <w:p>
            <w:pPr>
              <w:jc w:val="center"/>
            </w:pPr>
            <w:r>
              <w:rPr>
                <w:rFonts w:ascii="Times New Roman" w:hAnsi="Times New Roman"/>
                <w:b/>
                <w:color w:val="FFFFFF"/>
                <w:sz w:val="16"/>
              </w:rPr>
              <w:t>SSIM</w:t>
            </w:r>
          </w:p>
        </w:tc>
      </w:tr>
      <w:tr>
        <w:tc>
          <w:tcPr>
            <w:tcW w:type="dxa" w:w="2610"/>
            <w:tcMar>
              <w:top w:w="60" w:type="dxa"/>
              <w:bottom w:w="60" w:type="dxa"/>
              <w:left w:w="80" w:type="dxa"/>
              <w:right w:w="80" w:type="dxa"/>
            </w:tcMar>
          </w:tcPr>
          <w:p>
            <w:pPr>
              <w:jc w:val="center"/>
            </w:pPr>
            <w:r>
              <w:rPr>
                <w:rFonts w:ascii="Times New Roman" w:hAnsi="Times New Roman"/>
                <w:sz w:val="16"/>
              </w:rPr>
              <w:t>Synthetic Benchmark</w:t>
            </w:r>
          </w:p>
        </w:tc>
        <w:tc>
          <w:tcPr>
            <w:tcW w:type="dxa" w:w="2610"/>
            <w:tcMar>
              <w:top w:w="60" w:type="dxa"/>
              <w:bottom w:w="60" w:type="dxa"/>
              <w:left w:w="80" w:type="dxa"/>
              <w:right w:w="80" w:type="dxa"/>
            </w:tcMar>
          </w:tcPr>
          <w:p>
            <w:pPr>
              <w:jc w:val="center"/>
            </w:pPr>
            <w:r>
              <w:rPr>
                <w:rFonts w:ascii="Times New Roman" w:hAnsi="Times New Roman"/>
                <w:sz w:val="16"/>
              </w:rPr>
              <w:t>800×600</w:t>
            </w:r>
          </w:p>
        </w:tc>
        <w:tc>
          <w:tcPr>
            <w:tcW w:type="dxa" w:w="2610"/>
            <w:tcMar>
              <w:top w:w="60" w:type="dxa"/>
              <w:bottom w:w="60" w:type="dxa"/>
              <w:left w:w="80" w:type="dxa"/>
              <w:right w:w="80" w:type="dxa"/>
            </w:tcMar>
          </w:tcPr>
          <w:p>
            <w:pPr>
              <w:jc w:val="center"/>
            </w:pPr>
            <w:r>
              <w:rPr>
                <w:rFonts w:ascii="Times New Roman" w:hAnsi="Times New Roman"/>
                <w:sz w:val="16"/>
              </w:rPr>
              <w:t>11.43</w:t>
            </w:r>
          </w:p>
        </w:tc>
        <w:tc>
          <w:tcPr>
            <w:tcW w:type="dxa" w:w="2610"/>
            <w:tcMar>
              <w:top w:w="60" w:type="dxa"/>
              <w:bottom w:w="60" w:type="dxa"/>
              <w:left w:w="80" w:type="dxa"/>
              <w:right w:w="80" w:type="dxa"/>
            </w:tcMar>
          </w:tcPr>
          <w:p>
            <w:pPr>
              <w:jc w:val="center"/>
            </w:pPr>
            <w:r>
              <w:rPr>
                <w:rFonts w:ascii="Times New Roman" w:hAnsi="Times New Roman"/>
                <w:sz w:val="16"/>
              </w:rPr>
              <w:t>0.6416</w:t>
            </w:r>
          </w:p>
        </w:tc>
      </w:tr>
      <w:tr>
        <w:tc>
          <w:tcPr>
            <w:tcW w:type="dxa" w:w="2610"/>
            <w:tcMar>
              <w:top w:w="60" w:type="dxa"/>
              <w:bottom w:w="60" w:type="dxa"/>
              <w:left w:w="80" w:type="dxa"/>
              <w:right w:w="80" w:type="dxa"/>
            </w:tcMar>
            <w:shd w:fill="ECF0F1"/>
          </w:tcPr>
          <w:p>
            <w:pPr>
              <w:jc w:val="center"/>
            </w:pPr>
            <w:r>
              <w:rPr>
                <w:rFonts w:ascii="Times New Roman" w:hAnsi="Times New Roman"/>
                <w:sz w:val="16"/>
              </w:rPr>
              <w:t>US Constitution</w:t>
            </w:r>
          </w:p>
        </w:tc>
        <w:tc>
          <w:tcPr>
            <w:tcW w:type="dxa" w:w="2610"/>
            <w:tcMar>
              <w:top w:w="60" w:type="dxa"/>
              <w:bottom w:w="60" w:type="dxa"/>
              <w:left w:w="80" w:type="dxa"/>
              <w:right w:w="80" w:type="dxa"/>
            </w:tcMar>
            <w:shd w:fill="ECF0F1"/>
          </w:tcPr>
          <w:p>
            <w:pPr>
              <w:jc w:val="center"/>
            </w:pPr>
            <w:r>
              <w:rPr>
                <w:rFonts w:ascii="Times New Roman" w:hAnsi="Times New Roman"/>
                <w:sz w:val="16"/>
              </w:rPr>
              <w:t>1600×1321</w:t>
            </w:r>
          </w:p>
        </w:tc>
        <w:tc>
          <w:tcPr>
            <w:tcW w:type="dxa" w:w="2610"/>
            <w:tcMar>
              <w:top w:w="60" w:type="dxa"/>
              <w:bottom w:w="60" w:type="dxa"/>
              <w:left w:w="80" w:type="dxa"/>
              <w:right w:w="80" w:type="dxa"/>
            </w:tcMar>
            <w:shd w:fill="ECF0F1"/>
          </w:tcPr>
          <w:p>
            <w:pPr>
              <w:jc w:val="center"/>
            </w:pPr>
            <w:r>
              <w:rPr>
                <w:rFonts w:ascii="Times New Roman" w:hAnsi="Times New Roman"/>
                <w:sz w:val="16"/>
              </w:rPr>
              <w:t>9.33</w:t>
            </w:r>
          </w:p>
        </w:tc>
        <w:tc>
          <w:tcPr>
            <w:tcW w:type="dxa" w:w="2610"/>
            <w:tcMar>
              <w:top w:w="60" w:type="dxa"/>
              <w:bottom w:w="60" w:type="dxa"/>
              <w:left w:w="80" w:type="dxa"/>
              <w:right w:w="80" w:type="dxa"/>
            </w:tcMar>
            <w:shd w:fill="ECF0F1"/>
          </w:tcPr>
          <w:p>
            <w:pPr>
              <w:jc w:val="center"/>
            </w:pPr>
            <w:r>
              <w:rPr>
                <w:rFonts w:ascii="Times New Roman" w:hAnsi="Times New Roman"/>
                <w:sz w:val="16"/>
              </w:rPr>
              <w:t>0.3569</w:t>
            </w:r>
          </w:p>
        </w:tc>
      </w:tr>
      <w:tr>
        <w:tc>
          <w:tcPr>
            <w:tcW w:type="dxa" w:w="2610"/>
            <w:tcMar>
              <w:top w:w="60" w:type="dxa"/>
              <w:bottom w:w="60" w:type="dxa"/>
              <w:left w:w="80" w:type="dxa"/>
              <w:right w:w="80" w:type="dxa"/>
            </w:tcMar>
          </w:tcPr>
          <w:p>
            <w:pPr>
              <w:jc w:val="center"/>
            </w:pPr>
            <w:r>
              <w:rPr>
                <w:rFonts w:ascii="Times New Roman" w:hAnsi="Times New Roman"/>
                <w:sz w:val="16"/>
              </w:rPr>
              <w:t>Magna Carta</w:t>
            </w:r>
          </w:p>
        </w:tc>
        <w:tc>
          <w:tcPr>
            <w:tcW w:type="dxa" w:w="2610"/>
            <w:tcMar>
              <w:top w:w="60" w:type="dxa"/>
              <w:bottom w:w="60" w:type="dxa"/>
              <w:left w:w="80" w:type="dxa"/>
              <w:right w:w="80" w:type="dxa"/>
            </w:tcMar>
          </w:tcPr>
          <w:p>
            <w:pPr>
              <w:jc w:val="center"/>
            </w:pPr>
            <w:r>
              <w:rPr>
                <w:rFonts w:ascii="Times New Roman" w:hAnsi="Times New Roman"/>
                <w:sz w:val="16"/>
              </w:rPr>
              <w:t>1066×1600</w:t>
            </w:r>
          </w:p>
        </w:tc>
        <w:tc>
          <w:tcPr>
            <w:tcW w:type="dxa" w:w="2610"/>
            <w:tcMar>
              <w:top w:w="60" w:type="dxa"/>
              <w:bottom w:w="60" w:type="dxa"/>
              <w:left w:w="80" w:type="dxa"/>
              <w:right w:w="80" w:type="dxa"/>
            </w:tcMar>
          </w:tcPr>
          <w:p>
            <w:pPr>
              <w:jc w:val="center"/>
            </w:pPr>
            <w:r>
              <w:rPr>
                <w:rFonts w:ascii="Times New Roman" w:hAnsi="Times New Roman"/>
                <w:sz w:val="16"/>
              </w:rPr>
              <w:t>7.62</w:t>
            </w:r>
          </w:p>
        </w:tc>
        <w:tc>
          <w:tcPr>
            <w:tcW w:type="dxa" w:w="2610"/>
            <w:tcMar>
              <w:top w:w="60" w:type="dxa"/>
              <w:bottom w:w="60" w:type="dxa"/>
              <w:left w:w="80" w:type="dxa"/>
              <w:right w:w="80" w:type="dxa"/>
            </w:tcMar>
          </w:tcPr>
          <w:p>
            <w:pPr>
              <w:jc w:val="center"/>
            </w:pPr>
            <w:r>
              <w:rPr>
                <w:rFonts w:ascii="Times New Roman" w:hAnsi="Times New Roman"/>
                <w:sz w:val="16"/>
              </w:rPr>
              <w:t>0.1706</w:t>
            </w:r>
          </w:p>
        </w:tc>
      </w:tr>
      <w:tr>
        <w:tc>
          <w:tcPr>
            <w:tcW w:type="dxa" w:w="2610"/>
            <w:tcMar>
              <w:top w:w="60" w:type="dxa"/>
              <w:bottom w:w="60" w:type="dxa"/>
              <w:left w:w="80" w:type="dxa"/>
              <w:right w:w="80" w:type="dxa"/>
            </w:tcMar>
            <w:shd w:fill="ECF0F1"/>
          </w:tcPr>
          <w:p>
            <w:pPr>
              <w:jc w:val="center"/>
            </w:pPr>
            <w:r>
              <w:rPr>
                <w:rFonts w:ascii="Times New Roman" w:hAnsi="Times New Roman"/>
                <w:sz w:val="16"/>
              </w:rPr>
              <w:t>Codex Gigas</w:t>
            </w:r>
          </w:p>
        </w:tc>
        <w:tc>
          <w:tcPr>
            <w:tcW w:type="dxa" w:w="2610"/>
            <w:tcMar>
              <w:top w:w="60" w:type="dxa"/>
              <w:bottom w:w="60" w:type="dxa"/>
              <w:left w:w="80" w:type="dxa"/>
              <w:right w:w="80" w:type="dxa"/>
            </w:tcMar>
            <w:shd w:fill="ECF0F1"/>
          </w:tcPr>
          <w:p>
            <w:pPr>
              <w:jc w:val="center"/>
            </w:pPr>
            <w:r>
              <w:rPr>
                <w:rFonts w:ascii="Times New Roman" w:hAnsi="Times New Roman"/>
                <w:sz w:val="16"/>
              </w:rPr>
              <w:t>1200×1600</w:t>
            </w:r>
          </w:p>
        </w:tc>
        <w:tc>
          <w:tcPr>
            <w:tcW w:type="dxa" w:w="2610"/>
            <w:tcMar>
              <w:top w:w="60" w:type="dxa"/>
              <w:bottom w:w="60" w:type="dxa"/>
              <w:left w:w="80" w:type="dxa"/>
              <w:right w:w="80" w:type="dxa"/>
            </w:tcMar>
            <w:shd w:fill="ECF0F1"/>
          </w:tcPr>
          <w:p>
            <w:pPr>
              <w:jc w:val="center"/>
            </w:pPr>
            <w:r>
              <w:rPr>
                <w:rFonts w:ascii="Times New Roman" w:hAnsi="Times New Roman"/>
                <w:sz w:val="16"/>
              </w:rPr>
              <w:t>6.60</w:t>
            </w:r>
          </w:p>
        </w:tc>
        <w:tc>
          <w:tcPr>
            <w:tcW w:type="dxa" w:w="2610"/>
            <w:tcMar>
              <w:top w:w="60" w:type="dxa"/>
              <w:bottom w:w="60" w:type="dxa"/>
              <w:left w:w="80" w:type="dxa"/>
              <w:right w:w="80" w:type="dxa"/>
            </w:tcMar>
            <w:shd w:fill="ECF0F1"/>
          </w:tcPr>
          <w:p>
            <w:pPr>
              <w:jc w:val="center"/>
            </w:pPr>
            <w:r>
              <w:rPr>
                <w:rFonts w:ascii="Times New Roman" w:hAnsi="Times New Roman"/>
                <w:sz w:val="16"/>
              </w:rPr>
              <w:t>0.3399</w:t>
            </w:r>
          </w:p>
        </w:tc>
      </w:tr>
      <w:tr>
        <w:tc>
          <w:tcPr>
            <w:tcW w:type="dxa" w:w="2610"/>
            <w:tcMar>
              <w:top w:w="60" w:type="dxa"/>
              <w:bottom w:w="60" w:type="dxa"/>
              <w:left w:w="80" w:type="dxa"/>
              <w:right w:w="80" w:type="dxa"/>
            </w:tcMar>
          </w:tcPr>
          <w:p>
            <w:pPr>
              <w:jc w:val="center"/>
            </w:pPr>
            <w:r>
              <w:rPr>
                <w:rFonts w:ascii="Times New Roman" w:hAnsi="Times New Roman"/>
                <w:sz w:val="16"/>
              </w:rPr>
              <w:t>Gutenberg Bible</w:t>
            </w:r>
          </w:p>
        </w:tc>
        <w:tc>
          <w:tcPr>
            <w:tcW w:type="dxa" w:w="2610"/>
            <w:tcMar>
              <w:top w:w="60" w:type="dxa"/>
              <w:bottom w:w="60" w:type="dxa"/>
              <w:left w:w="80" w:type="dxa"/>
              <w:right w:w="80" w:type="dxa"/>
            </w:tcMar>
          </w:tcPr>
          <w:p>
            <w:pPr>
              <w:jc w:val="center"/>
            </w:pPr>
            <w:r>
              <w:rPr>
                <w:rFonts w:ascii="Times New Roman" w:hAnsi="Times New Roman"/>
                <w:sz w:val="16"/>
              </w:rPr>
              <w:t>1000×1600</w:t>
            </w:r>
          </w:p>
        </w:tc>
        <w:tc>
          <w:tcPr>
            <w:tcW w:type="dxa" w:w="2610"/>
            <w:tcMar>
              <w:top w:w="60" w:type="dxa"/>
              <w:bottom w:w="60" w:type="dxa"/>
              <w:left w:w="80" w:type="dxa"/>
              <w:right w:w="80" w:type="dxa"/>
            </w:tcMar>
          </w:tcPr>
          <w:p>
            <w:pPr>
              <w:jc w:val="center"/>
            </w:pPr>
            <w:r>
              <w:rPr>
                <w:rFonts w:ascii="Times New Roman" w:hAnsi="Times New Roman"/>
                <w:sz w:val="16"/>
              </w:rPr>
              <w:t>4.54</w:t>
            </w:r>
          </w:p>
        </w:tc>
        <w:tc>
          <w:tcPr>
            <w:tcW w:type="dxa" w:w="2610"/>
            <w:tcMar>
              <w:top w:w="60" w:type="dxa"/>
              <w:bottom w:w="60" w:type="dxa"/>
              <w:left w:w="80" w:type="dxa"/>
              <w:right w:w="80" w:type="dxa"/>
            </w:tcMar>
          </w:tcPr>
          <w:p>
            <w:pPr>
              <w:jc w:val="center"/>
            </w:pPr>
            <w:r>
              <w:rPr>
                <w:rFonts w:ascii="Times New Roman" w:hAnsi="Times New Roman"/>
                <w:sz w:val="16"/>
              </w:rPr>
              <w:t>0.2978</w:t>
            </w:r>
          </w:p>
        </w:tc>
      </w:tr>
    </w:tbl>
    <w:p>
      <w:pPr>
        <w:spacing w:after="60" w:before="20"/>
        <w:ind w:firstLine="360"/>
        <w:jc w:val="both"/>
      </w:pPr>
      <w:r>
        <w:rPr>
          <w:rFonts w:ascii="Times New Roman" w:hAnsi="Times New Roman"/>
          <w:b/>
          <w:sz w:val="20"/>
        </w:rPr>
        <w:t xml:space="preserve">Interpretation: </w:t>
      </w:r>
      <w:r>
        <w:rPr>
          <w:rFonts w:ascii="Times New Roman" w:hAnsi="Times New Roman"/>
          <w:i w:val="0"/>
          <w:sz w:val="20"/>
        </w:rPr>
        <w:t>Note: In document restoration, lower numerical PSNR against an unprocessed degraded scan is expected and desirable. The pipeline intentionally removes large areas of dark stain pixels and converts them to white (255), producing large MSE while drastically improving visual legibility.</w:t>
      </w:r>
    </w:p>
    <w:p>
      <w:pPr>
        <w:pStyle w:val="Heading2"/>
        <w:spacing w:before="200" w:after="80"/>
      </w:pPr>
      <w:r>
        <w:rPr>
          <w:rFonts w:ascii="Times New Roman" w:hAnsi="Times New Roman"/>
          <w:i/>
          <w:color w:val="000000"/>
          <w:sz w:val="20"/>
        </w:rPr>
        <w:t>C. Comparative Evaluation of Binarization Algorithms</w:t>
      </w:r>
    </w:p>
    <w:p>
      <w:pPr>
        <w:spacing w:after="60" w:before="20"/>
        <w:ind w:firstLine="360"/>
        <w:jc w:val="both"/>
      </w:pPr>
      <w:r>
        <w:rPr>
          <w:rFonts w:ascii="Times New Roman" w:hAnsi="Times New Roman"/>
          <w:i w:val="0"/>
          <w:sz w:val="20"/>
        </w:rPr>
        <w:t>An extensive ablation compared classical thresholding methods against our fast O(1) Sauvola implementation on degraded historical text.</w:t>
      </w:r>
    </w:p>
    <w:p>
      <w:pPr>
        <w:spacing w:before="160" w:after="80"/>
        <w:jc w:val="center"/>
      </w:pPr>
      <w:r>
        <w:rPr>
          <w:rFonts w:ascii="Times New Roman" w:hAnsi="Times New Roman"/>
          <w:sz w:val="16"/>
        </w:rPr>
        <w:t>TABLE II</w:t>
      </w:r>
    </w:p>
    <w:p>
      <w:pPr>
        <w:spacing w:after="80"/>
        <w:jc w:val="center"/>
      </w:pPr>
      <w:r>
        <w:rPr>
          <w:rFonts w:ascii="Times New Roman" w:hAnsi="Times New Roman"/>
          <w:sz w:val="16"/>
        </w:rPr>
        <w:t>Algorithmic Comparison of Binarization Techniques</w:t>
      </w:r>
    </w:p>
    <w:tbl>
      <w:tblPr>
        <w:tblW w:type="auto" w:w="0"/>
        <w:jc w:val="center"/>
        <w:tblLook w:firstColumn="1" w:firstRow="1" w:lastColumn="0" w:lastRow="0" w:noHBand="0" w:noVBand="1" w:val="04A0"/>
      </w:tblPr>
      <w:tblGrid>
        <w:gridCol w:w="2610"/>
        <w:gridCol w:w="2610"/>
        <w:gridCol w:w="2610"/>
        <w:gridCol w:w="2610"/>
      </w:tblGrid>
      <w:tr>
        <w:tc>
          <w:tcPr>
            <w:tcW w:type="dxa" w:w="2610"/>
            <w:shd w:fill="2C3E50"/>
            <w:tcMar>
              <w:top w:w="60" w:type="dxa"/>
              <w:bottom w:w="60" w:type="dxa"/>
              <w:left w:w="80" w:type="dxa"/>
              <w:right w:w="80" w:type="dxa"/>
            </w:tcMar>
          </w:tcPr>
          <w:p>
            <w:pPr>
              <w:jc w:val="center"/>
            </w:pPr>
            <w:r>
              <w:rPr>
                <w:rFonts w:ascii="Times New Roman" w:hAnsi="Times New Roman"/>
                <w:b/>
                <w:color w:val="FFFFFF"/>
                <w:sz w:val="16"/>
              </w:rPr>
              <w:t>Method</w:t>
            </w:r>
          </w:p>
        </w:tc>
        <w:tc>
          <w:tcPr>
            <w:tcW w:type="dxa" w:w="2610"/>
            <w:shd w:fill="2C3E50"/>
            <w:tcMar>
              <w:top w:w="60" w:type="dxa"/>
              <w:bottom w:w="60" w:type="dxa"/>
              <w:left w:w="80" w:type="dxa"/>
              <w:right w:w="80" w:type="dxa"/>
            </w:tcMar>
          </w:tcPr>
          <w:p>
            <w:pPr>
              <w:jc w:val="center"/>
            </w:pPr>
            <w:r>
              <w:rPr>
                <w:rFonts w:ascii="Times New Roman" w:hAnsi="Times New Roman"/>
                <w:b/>
                <w:color w:val="FFFFFF"/>
                <w:sz w:val="16"/>
              </w:rPr>
              <w:t>Type</w:t>
            </w:r>
          </w:p>
        </w:tc>
        <w:tc>
          <w:tcPr>
            <w:tcW w:type="dxa" w:w="2610"/>
            <w:shd w:fill="2C3E50"/>
            <w:tcMar>
              <w:top w:w="60" w:type="dxa"/>
              <w:bottom w:w="60" w:type="dxa"/>
              <w:left w:w="80" w:type="dxa"/>
              <w:right w:w="80" w:type="dxa"/>
            </w:tcMar>
          </w:tcPr>
          <w:p>
            <w:pPr>
              <w:jc w:val="center"/>
            </w:pPr>
            <w:r>
              <w:rPr>
                <w:rFonts w:ascii="Times New Roman" w:hAnsi="Times New Roman"/>
                <w:b/>
                <w:color w:val="FFFFFF"/>
                <w:sz w:val="16"/>
              </w:rPr>
              <w:t>Non-Uniform Lighting</w:t>
            </w:r>
          </w:p>
        </w:tc>
        <w:tc>
          <w:tcPr>
            <w:tcW w:type="dxa" w:w="2610"/>
            <w:shd w:fill="2C3E50"/>
            <w:tcMar>
              <w:top w:w="60" w:type="dxa"/>
              <w:bottom w:w="60" w:type="dxa"/>
              <w:left w:w="80" w:type="dxa"/>
              <w:right w:w="80" w:type="dxa"/>
            </w:tcMar>
          </w:tcPr>
          <w:p>
            <w:pPr>
              <w:jc w:val="center"/>
            </w:pPr>
            <w:r>
              <w:rPr>
                <w:rFonts w:ascii="Times New Roman" w:hAnsi="Times New Roman"/>
                <w:b/>
                <w:color w:val="FFFFFF"/>
                <w:sz w:val="16"/>
              </w:rPr>
              <w:t>Bleed-Through</w:t>
            </w:r>
          </w:p>
        </w:tc>
      </w:tr>
      <w:tr>
        <w:tc>
          <w:tcPr>
            <w:tcW w:type="dxa" w:w="2610"/>
            <w:tcMar>
              <w:top w:w="60" w:type="dxa"/>
              <w:bottom w:w="60" w:type="dxa"/>
              <w:left w:w="80" w:type="dxa"/>
              <w:right w:w="80" w:type="dxa"/>
            </w:tcMar>
          </w:tcPr>
          <w:p>
            <w:pPr>
              <w:jc w:val="center"/>
            </w:pPr>
            <w:r>
              <w:rPr>
                <w:rFonts w:ascii="Times New Roman" w:hAnsi="Times New Roman"/>
                <w:sz w:val="16"/>
              </w:rPr>
              <w:t>Otsu [2]</w:t>
            </w:r>
          </w:p>
        </w:tc>
        <w:tc>
          <w:tcPr>
            <w:tcW w:type="dxa" w:w="2610"/>
            <w:tcMar>
              <w:top w:w="60" w:type="dxa"/>
              <w:bottom w:w="60" w:type="dxa"/>
              <w:left w:w="80" w:type="dxa"/>
              <w:right w:w="80" w:type="dxa"/>
            </w:tcMar>
          </w:tcPr>
          <w:p>
            <w:pPr>
              <w:jc w:val="center"/>
            </w:pPr>
            <w:r>
              <w:rPr>
                <w:rFonts w:ascii="Times New Roman" w:hAnsi="Times New Roman"/>
                <w:sz w:val="16"/>
              </w:rPr>
              <w:t>Global</w:t>
            </w:r>
          </w:p>
        </w:tc>
        <w:tc>
          <w:tcPr>
            <w:tcW w:type="dxa" w:w="2610"/>
            <w:tcMar>
              <w:top w:w="60" w:type="dxa"/>
              <w:bottom w:w="60" w:type="dxa"/>
              <w:left w:w="80" w:type="dxa"/>
              <w:right w:w="80" w:type="dxa"/>
            </w:tcMar>
          </w:tcPr>
          <w:p>
            <w:pPr>
              <w:jc w:val="center"/>
            </w:pPr>
            <w:r>
              <w:rPr>
                <w:rFonts w:ascii="Times New Roman" w:hAnsi="Times New Roman"/>
                <w:sz w:val="16"/>
              </w:rPr>
              <w:t>Fails</w:t>
            </w:r>
          </w:p>
        </w:tc>
        <w:tc>
          <w:tcPr>
            <w:tcW w:type="dxa" w:w="2610"/>
            <w:tcMar>
              <w:top w:w="60" w:type="dxa"/>
              <w:bottom w:w="60" w:type="dxa"/>
              <w:left w:w="80" w:type="dxa"/>
              <w:right w:w="80" w:type="dxa"/>
            </w:tcMar>
          </w:tcPr>
          <w:p>
            <w:pPr>
              <w:jc w:val="center"/>
            </w:pPr>
            <w:r>
              <w:rPr>
                <w:rFonts w:ascii="Times New Roman" w:hAnsi="Times New Roman"/>
                <w:sz w:val="16"/>
              </w:rPr>
              <w:t>Very Poor</w:t>
            </w:r>
          </w:p>
        </w:tc>
      </w:tr>
      <w:tr>
        <w:tc>
          <w:tcPr>
            <w:tcW w:type="dxa" w:w="2610"/>
            <w:tcMar>
              <w:top w:w="60" w:type="dxa"/>
              <w:bottom w:w="60" w:type="dxa"/>
              <w:left w:w="80" w:type="dxa"/>
              <w:right w:w="80" w:type="dxa"/>
            </w:tcMar>
            <w:shd w:fill="ECF0F1"/>
          </w:tcPr>
          <w:p>
            <w:pPr>
              <w:jc w:val="center"/>
            </w:pPr>
            <w:r>
              <w:rPr>
                <w:rFonts w:ascii="Times New Roman" w:hAnsi="Times New Roman"/>
                <w:sz w:val="16"/>
              </w:rPr>
              <w:t>Adaptive Mean</w:t>
            </w:r>
          </w:p>
        </w:tc>
        <w:tc>
          <w:tcPr>
            <w:tcW w:type="dxa" w:w="2610"/>
            <w:tcMar>
              <w:top w:w="60" w:type="dxa"/>
              <w:bottom w:w="60" w:type="dxa"/>
              <w:left w:w="80" w:type="dxa"/>
              <w:right w:w="80" w:type="dxa"/>
            </w:tcMar>
            <w:shd w:fill="ECF0F1"/>
          </w:tcPr>
          <w:p>
            <w:pPr>
              <w:jc w:val="center"/>
            </w:pPr>
            <w:r>
              <w:rPr>
                <w:rFonts w:ascii="Times New Roman" w:hAnsi="Times New Roman"/>
                <w:sz w:val="16"/>
              </w:rPr>
              <w:t>Local</w:t>
            </w:r>
          </w:p>
        </w:tc>
        <w:tc>
          <w:tcPr>
            <w:tcW w:type="dxa" w:w="2610"/>
            <w:tcMar>
              <w:top w:w="60" w:type="dxa"/>
              <w:bottom w:w="60" w:type="dxa"/>
              <w:left w:w="80" w:type="dxa"/>
              <w:right w:w="80" w:type="dxa"/>
            </w:tcMar>
            <w:shd w:fill="ECF0F1"/>
          </w:tcPr>
          <w:p>
            <w:pPr>
              <w:jc w:val="center"/>
            </w:pPr>
            <w:r>
              <w:rPr>
                <w:rFonts w:ascii="Times New Roman" w:hAnsi="Times New Roman"/>
                <w:sz w:val="16"/>
              </w:rPr>
              <w:t>Moderate</w:t>
            </w:r>
          </w:p>
        </w:tc>
        <w:tc>
          <w:tcPr>
            <w:tcW w:type="dxa" w:w="2610"/>
            <w:tcMar>
              <w:top w:w="60" w:type="dxa"/>
              <w:bottom w:w="60" w:type="dxa"/>
              <w:left w:w="80" w:type="dxa"/>
              <w:right w:w="80" w:type="dxa"/>
            </w:tcMar>
            <w:shd w:fill="ECF0F1"/>
          </w:tcPr>
          <w:p>
            <w:pPr>
              <w:jc w:val="center"/>
            </w:pPr>
            <w:r>
              <w:rPr>
                <w:rFonts w:ascii="Times New Roman" w:hAnsi="Times New Roman"/>
                <w:sz w:val="16"/>
              </w:rPr>
              <w:t>Poor</w:t>
            </w:r>
          </w:p>
        </w:tc>
      </w:tr>
      <w:tr>
        <w:tc>
          <w:tcPr>
            <w:tcW w:type="dxa" w:w="2610"/>
            <w:tcMar>
              <w:top w:w="60" w:type="dxa"/>
              <w:bottom w:w="60" w:type="dxa"/>
              <w:left w:w="80" w:type="dxa"/>
              <w:right w:w="80" w:type="dxa"/>
            </w:tcMar>
          </w:tcPr>
          <w:p>
            <w:pPr>
              <w:jc w:val="center"/>
            </w:pPr>
            <w:r>
              <w:rPr>
                <w:rFonts w:ascii="Times New Roman" w:hAnsi="Times New Roman"/>
                <w:sz w:val="16"/>
              </w:rPr>
              <w:t>Adaptive Gaussian</w:t>
            </w:r>
          </w:p>
        </w:tc>
        <w:tc>
          <w:tcPr>
            <w:tcW w:type="dxa" w:w="2610"/>
            <w:tcMar>
              <w:top w:w="60" w:type="dxa"/>
              <w:bottom w:w="60" w:type="dxa"/>
              <w:left w:w="80" w:type="dxa"/>
              <w:right w:w="80" w:type="dxa"/>
            </w:tcMar>
          </w:tcPr>
          <w:p>
            <w:pPr>
              <w:jc w:val="center"/>
            </w:pPr>
            <w:r>
              <w:rPr>
                <w:rFonts w:ascii="Times New Roman" w:hAnsi="Times New Roman"/>
                <w:sz w:val="16"/>
              </w:rPr>
              <w:t>Local</w:t>
            </w:r>
          </w:p>
        </w:tc>
        <w:tc>
          <w:tcPr>
            <w:tcW w:type="dxa" w:w="2610"/>
            <w:tcMar>
              <w:top w:w="60" w:type="dxa"/>
              <w:bottom w:w="60" w:type="dxa"/>
              <w:left w:w="80" w:type="dxa"/>
              <w:right w:w="80" w:type="dxa"/>
            </w:tcMar>
          </w:tcPr>
          <w:p>
            <w:pPr>
              <w:jc w:val="center"/>
            </w:pPr>
            <w:r>
              <w:rPr>
                <w:rFonts w:ascii="Times New Roman" w:hAnsi="Times New Roman"/>
                <w:sz w:val="16"/>
              </w:rPr>
              <w:t>Good</w:t>
            </w:r>
          </w:p>
        </w:tc>
        <w:tc>
          <w:tcPr>
            <w:tcW w:type="dxa" w:w="2610"/>
            <w:tcMar>
              <w:top w:w="60" w:type="dxa"/>
              <w:bottom w:w="60" w:type="dxa"/>
              <w:left w:w="80" w:type="dxa"/>
              <w:right w:w="80" w:type="dxa"/>
            </w:tcMar>
          </w:tcPr>
          <w:p>
            <w:pPr>
              <w:jc w:val="center"/>
            </w:pPr>
            <w:r>
              <w:rPr>
                <w:rFonts w:ascii="Times New Roman" w:hAnsi="Times New Roman"/>
                <w:sz w:val="16"/>
              </w:rPr>
              <w:t>Fair</w:t>
            </w:r>
          </w:p>
        </w:tc>
      </w:tr>
      <w:tr>
        <w:tc>
          <w:tcPr>
            <w:tcW w:type="dxa" w:w="2610"/>
            <w:tcMar>
              <w:top w:w="60" w:type="dxa"/>
              <w:bottom w:w="60" w:type="dxa"/>
              <w:left w:w="80" w:type="dxa"/>
              <w:right w:w="80" w:type="dxa"/>
            </w:tcMar>
            <w:shd w:fill="ECF0F1"/>
          </w:tcPr>
          <w:p>
            <w:pPr>
              <w:jc w:val="center"/>
            </w:pPr>
            <w:r>
              <w:rPr>
                <w:rFonts w:ascii="Times New Roman" w:hAnsi="Times New Roman"/>
                <w:sz w:val="16"/>
              </w:rPr>
              <w:t>Niblack [3]</w:t>
            </w:r>
          </w:p>
        </w:tc>
        <w:tc>
          <w:tcPr>
            <w:tcW w:type="dxa" w:w="2610"/>
            <w:tcMar>
              <w:top w:w="60" w:type="dxa"/>
              <w:bottom w:w="60" w:type="dxa"/>
              <w:left w:w="80" w:type="dxa"/>
              <w:right w:w="80" w:type="dxa"/>
            </w:tcMar>
            <w:shd w:fill="ECF0F1"/>
          </w:tcPr>
          <w:p>
            <w:pPr>
              <w:jc w:val="center"/>
            </w:pPr>
            <w:r>
              <w:rPr>
                <w:rFonts w:ascii="Times New Roman" w:hAnsi="Times New Roman"/>
                <w:sz w:val="16"/>
              </w:rPr>
              <w:t>Local</w:t>
            </w:r>
          </w:p>
        </w:tc>
        <w:tc>
          <w:tcPr>
            <w:tcW w:type="dxa" w:w="2610"/>
            <w:tcMar>
              <w:top w:w="60" w:type="dxa"/>
              <w:bottom w:w="60" w:type="dxa"/>
              <w:left w:w="80" w:type="dxa"/>
              <w:right w:w="80" w:type="dxa"/>
            </w:tcMar>
            <w:shd w:fill="ECF0F1"/>
          </w:tcPr>
          <w:p>
            <w:pPr>
              <w:jc w:val="center"/>
            </w:pPr>
            <w:r>
              <w:rPr>
                <w:rFonts w:ascii="Times New Roman" w:hAnsi="Times New Roman"/>
                <w:sz w:val="16"/>
              </w:rPr>
              <w:t>Good</w:t>
            </w:r>
          </w:p>
        </w:tc>
        <w:tc>
          <w:tcPr>
            <w:tcW w:type="dxa" w:w="2610"/>
            <w:tcMar>
              <w:top w:w="60" w:type="dxa"/>
              <w:bottom w:w="60" w:type="dxa"/>
              <w:left w:w="80" w:type="dxa"/>
              <w:right w:w="80" w:type="dxa"/>
            </w:tcMar>
            <w:shd w:fill="ECF0F1"/>
          </w:tcPr>
          <w:p>
            <w:pPr>
              <w:jc w:val="center"/>
            </w:pPr>
            <w:r>
              <w:rPr>
                <w:rFonts w:ascii="Times New Roman" w:hAnsi="Times New Roman"/>
                <w:sz w:val="16"/>
              </w:rPr>
              <w:t>Moderate</w:t>
            </w:r>
          </w:p>
        </w:tc>
      </w:tr>
      <w:tr>
        <w:tc>
          <w:tcPr>
            <w:tcW w:type="dxa" w:w="2610"/>
            <w:tcMar>
              <w:top w:w="60" w:type="dxa"/>
              <w:bottom w:w="60" w:type="dxa"/>
              <w:left w:w="80" w:type="dxa"/>
              <w:right w:w="80" w:type="dxa"/>
            </w:tcMar>
          </w:tcPr>
          <w:p>
            <w:pPr>
              <w:jc w:val="center"/>
            </w:pPr>
            <w:r>
              <w:rPr>
                <w:rFonts w:ascii="Times New Roman" w:hAnsi="Times New Roman"/>
                <w:b/>
                <w:sz w:val="16"/>
              </w:rPr>
              <w:t>Sauvola (Ours) [1]</w:t>
            </w:r>
          </w:p>
        </w:tc>
        <w:tc>
          <w:tcPr>
            <w:tcW w:type="dxa" w:w="2610"/>
            <w:tcMar>
              <w:top w:w="60" w:type="dxa"/>
              <w:bottom w:w="60" w:type="dxa"/>
              <w:left w:w="80" w:type="dxa"/>
              <w:right w:w="80" w:type="dxa"/>
            </w:tcMar>
          </w:tcPr>
          <w:p>
            <w:pPr>
              <w:jc w:val="center"/>
            </w:pPr>
            <w:r>
              <w:rPr>
                <w:rFonts w:ascii="Times New Roman" w:hAnsi="Times New Roman"/>
                <w:b/>
                <w:sz w:val="16"/>
              </w:rPr>
              <w:t>Local O(1)</w:t>
            </w:r>
          </w:p>
        </w:tc>
        <w:tc>
          <w:tcPr>
            <w:tcW w:type="dxa" w:w="2610"/>
            <w:tcMar>
              <w:top w:w="60" w:type="dxa"/>
              <w:bottom w:w="60" w:type="dxa"/>
              <w:left w:w="80" w:type="dxa"/>
              <w:right w:w="80" w:type="dxa"/>
            </w:tcMar>
          </w:tcPr>
          <w:p>
            <w:pPr>
              <w:jc w:val="center"/>
            </w:pPr>
            <w:r>
              <w:rPr>
                <w:rFonts w:ascii="Times New Roman" w:hAnsi="Times New Roman"/>
                <w:b/>
                <w:sz w:val="16"/>
              </w:rPr>
              <w:t>Superior</w:t>
            </w:r>
          </w:p>
        </w:tc>
        <w:tc>
          <w:tcPr>
            <w:tcW w:type="dxa" w:w="2610"/>
            <w:tcMar>
              <w:top w:w="60" w:type="dxa"/>
              <w:bottom w:w="60" w:type="dxa"/>
              <w:left w:w="80" w:type="dxa"/>
              <w:right w:w="80" w:type="dxa"/>
            </w:tcMar>
          </w:tcPr>
          <w:p>
            <w:pPr>
              <w:jc w:val="center"/>
            </w:pPr>
            <w:r>
              <w:rPr>
                <w:rFonts w:ascii="Times New Roman" w:hAnsi="Times New Roman"/>
                <w:b/>
                <w:sz w:val="16"/>
              </w:rPr>
              <w:t>Excellent</w:t>
            </w:r>
          </w:p>
        </w:tc>
      </w:tr>
    </w:tbl>
    <w:p>
      <w:pPr>
        <w:spacing w:after="60" w:before="20"/>
        <w:ind w:firstLine="360"/>
        <w:jc w:val="both"/>
      </w:pPr>
      <w:r>
        <w:rPr>
          <w:rFonts w:ascii="Times New Roman" w:hAnsi="Times New Roman"/>
          <w:i w:val="0"/>
          <w:sz w:val="20"/>
        </w:rPr>
        <w:t>Otsu's global method fails catastrophically on historical documents. Niblack's algorithm captures faint text effectively but introduces massive noise in clean background regions. Sauvola's algorithm dynamically scales threshold sensitivity by the local standard deviation normalized by R = 128, keeping background clean while preserving razor-sharp text strokes.</w:t>
      </w:r>
    </w:p>
    <w:p>
      <w:pPr>
        <w:pStyle w:val="Heading2"/>
        <w:spacing w:before="200" w:after="80"/>
      </w:pPr>
      <w:r>
        <w:rPr>
          <w:rFonts w:ascii="Times New Roman" w:hAnsi="Times New Roman"/>
          <w:i/>
          <w:color w:val="000000"/>
          <w:sz w:val="20"/>
        </w:rPr>
        <w:t>D. Stage-by-Stage Ablation Analysis</w:t>
      </w:r>
    </w:p>
    <w:p>
      <w:pPr>
        <w:spacing w:after="60" w:before="20"/>
        <w:ind w:firstLine="360"/>
        <w:jc w:val="both"/>
      </w:pPr>
      <w:r>
        <w:rPr>
          <w:rFonts w:ascii="Times New Roman" w:hAnsi="Times New Roman"/>
          <w:i w:val="0"/>
          <w:sz w:val="20"/>
        </w:rPr>
        <w:t>Border Cropping removed scanner boundaries that corrupted histogram tails. Deskewing corrected text baselines (e.g., 2.5° skew). Morphological Division flattened large-scale luminance gradients — this single stage accounted for the largest visual improvement. Fast NLM suppressed paper grain without degrading letter loops or serifs. CLAHE boosted contrast in severely faded strokes (Magna Carta). Post-processing unsharp masking produced crisp typography suitable for archival printing and OCR.</w:t>
      </w:r>
    </w:p>
    <w:p>
      <w:pPr>
        <w:pStyle w:val="Heading2"/>
        <w:spacing w:before="200" w:after="80"/>
      </w:pPr>
      <w:r>
        <w:rPr>
          <w:rFonts w:ascii="Times New Roman" w:hAnsi="Times New Roman"/>
          <w:i/>
          <w:color w:val="000000"/>
          <w:sz w:val="20"/>
        </w:rPr>
        <w:t>E. Interactive Web Application</w:t>
      </w:r>
    </w:p>
    <w:p>
      <w:pPr>
        <w:spacing w:after="60" w:before="20"/>
        <w:ind w:firstLine="360"/>
        <w:jc w:val="both"/>
      </w:pPr>
      <w:r>
        <w:rPr>
          <w:rFonts w:ascii="Times New Roman" w:hAnsi="Times New Roman"/>
          <w:i w:val="0"/>
          <w:sz w:val="20"/>
        </w:rPr>
        <w:t>The pipeline was integrated into a Streamlit web dashboard with four tabs: (1) Overview — interactive before/after Juxtapose slider with PNG download; (2) Stage-by-Stage Results — sequential visualization of intermediate buffers; (3) Binarization Comparison — simultaneous rendering of five algorithms; (4) Quality Metrics — real-time PSNR/SSIM cards with overlaid intensity histograms.</w:t>
      </w:r>
    </w:p>
    <w:p>
      <w:pPr>
        <w:pStyle w:val="Heading1"/>
        <w:spacing w:before="200" w:after="80"/>
        <w:jc w:val="center"/>
      </w:pPr>
      <w:r>
        <w:rPr>
          <w:rFonts w:ascii="Times New Roman" w:hAnsi="Times New Roman"/>
          <w:color w:val="000000"/>
          <w:sz w:val="24"/>
        </w:rPr>
        <w:t>IV. CONCLUSION</w:t>
      </w:r>
    </w:p>
    <w:p>
      <w:pPr>
        <w:spacing w:after="60" w:before="20"/>
        <w:ind w:firstLine="360"/>
        <w:jc w:val="both"/>
      </w:pPr>
      <w:r>
        <w:rPr>
          <w:rFonts w:ascii="Times New Roman" w:hAnsi="Times New Roman"/>
          <w:i w:val="0"/>
          <w:sz w:val="20"/>
        </w:rPr>
        <w:t>This paper presented the design, implementation, and comprehensive evaluation of an eight-stage digital image restoration pipeline specialized for degraded historical documents and manuscripts. By combining morphological background division, edge-preserving Non-Local Means spatial filtering, perceptual CLAHE contrast enhancement in CIE L*a*b* color space, digital inpainting via the Fast Marching Method, and a computationally efficient O(1) box-filter formulation of Sauvola local adaptive binarization, the proposed system effectively addresses centuries of severe physical, chemical, and optical degradation.</w:t>
      </w:r>
    </w:p>
    <w:p>
      <w:pPr>
        <w:spacing w:after="60" w:before="20"/>
        <w:ind w:firstLine="360"/>
        <w:jc w:val="both"/>
      </w:pPr>
      <w:r>
        <w:rPr>
          <w:rFonts w:ascii="Times New Roman" w:hAnsi="Times New Roman"/>
          <w:i w:val="0"/>
          <w:sz w:val="20"/>
        </w:rPr>
        <w:t>Extensive experimental evaluations across authentic historical manuscripts—including the 13th-century Codex Gigas, the 15th-century Gutenberg Bible, the 18th-century US Constitution, and the Magna Carta—demonstrate consistent contrast normalization, clean ink stroke isolation, and sub-second execution on standard CPUs without GPU acceleration. The accompanying Streamlit web dashboard bridges theoretical digital image processing with a practical tool for archival preservation.</w:t>
      </w:r>
    </w:p>
    <w:p>
      <w:pPr>
        <w:spacing w:after="60" w:before="20"/>
        <w:ind w:firstLine="360"/>
        <w:jc w:val="both"/>
      </w:pPr>
      <w:r>
        <w:rPr>
          <w:rFonts w:ascii="Times New Roman" w:hAnsi="Times New Roman"/>
          <w:i w:val="0"/>
          <w:sz w:val="20"/>
        </w:rPr>
        <w:t>Future extensions include: (1) end-to-end OCR transcription with Word Error Rate evaluation, (2) lightweight deep learning super-resolution (FSRCNN/ESPCN) for low-DPI upscaling, and (3) multi-page batch PDF processing with parallelized restoration pipelines.</w:t>
      </w:r>
    </w:p>
    <w:p>
      <w:pPr>
        <w:pStyle w:val="Heading1"/>
        <w:spacing w:before="200" w:after="80"/>
        <w:jc w:val="center"/>
      </w:pPr>
      <w:r>
        <w:rPr>
          <w:rFonts w:ascii="Times New Roman" w:hAnsi="Times New Roman"/>
          <w:color w:val="000000"/>
          <w:sz w:val="24"/>
        </w:rPr>
        <w:t>REFERENCES</w:t>
      </w:r>
    </w:p>
    <w:p>
      <w:pPr>
        <w:spacing w:after="40"/>
        <w:ind w:left="432" w:hanging="432"/>
      </w:pPr>
      <w:r>
        <w:rPr>
          <w:rFonts w:ascii="Times New Roman" w:hAnsi="Times New Roman"/>
          <w:sz w:val="16"/>
        </w:rPr>
        <w:t>[1]  J. Sauvola and M. Pietikäinen, "Adaptive document image binarization," Pattern Recognition, vol. 33, no. 2, pp. 225–236, 2000.</w:t>
      </w:r>
    </w:p>
    <w:p>
      <w:pPr>
        <w:spacing w:after="40"/>
        <w:ind w:left="432" w:hanging="432"/>
      </w:pPr>
      <w:r>
        <w:rPr>
          <w:rFonts w:ascii="Times New Roman" w:hAnsi="Times New Roman"/>
          <w:sz w:val="16"/>
        </w:rPr>
        <w:t>[2]  N. Otsu, "A threshold selection method from gray-level histograms," IEEE Trans. Syst., Man, Cybern., vol. 9, no. 1, pp. 62–66, Jan. 1979.</w:t>
      </w:r>
    </w:p>
    <w:p>
      <w:pPr>
        <w:spacing w:after="40"/>
        <w:ind w:left="432" w:hanging="432"/>
      </w:pPr>
      <w:r>
        <w:rPr>
          <w:rFonts w:ascii="Times New Roman" w:hAnsi="Times New Roman"/>
          <w:sz w:val="16"/>
        </w:rPr>
        <w:t>[3]  W. Niblack, An Introduction to Digital Image Processing. Englewood Cliffs, NJ: Prentice-Hall, 1986.</w:t>
      </w:r>
    </w:p>
    <w:p>
      <w:pPr>
        <w:spacing w:after="40"/>
        <w:ind w:left="432" w:hanging="432"/>
      </w:pPr>
      <w:r>
        <w:rPr>
          <w:rFonts w:ascii="Times New Roman" w:hAnsi="Times New Roman"/>
          <w:sz w:val="16"/>
        </w:rPr>
        <w:t>[4]  A. Telea, "An image inpainting technique based on the fast marching method," J. Graphics Tools, vol. 9, no. 1, pp. 23–34, 2004.</w:t>
      </w:r>
    </w:p>
    <w:p>
      <w:pPr>
        <w:spacing w:after="40"/>
        <w:ind w:left="432" w:hanging="432"/>
      </w:pPr>
      <w:r>
        <w:rPr>
          <w:rFonts w:ascii="Times New Roman" w:hAnsi="Times New Roman"/>
          <w:sz w:val="16"/>
        </w:rPr>
        <w:t>[5]  M. Bertalmio, A. L. Bertozzi, and G. Sapiro, "Navier-stokes, fluid dynamics, and image and video inpainting," in Proc. IEEE CVPR, 2001.</w:t>
      </w:r>
    </w:p>
    <w:p>
      <w:pPr>
        <w:spacing w:after="40"/>
        <w:ind w:left="432" w:hanging="432"/>
      </w:pPr>
      <w:r>
        <w:rPr>
          <w:rFonts w:ascii="Times New Roman" w:hAnsi="Times New Roman"/>
          <w:sz w:val="16"/>
        </w:rPr>
        <w:t>[6]  K. Zuiderveld, "Contrast limited adaptive histogram equalization," in Graphics Gems IV. San Diego, CA: Academic Press, 1994, pp. 474–485.</w:t>
      </w:r>
    </w:p>
    <w:p>
      <w:pPr>
        <w:spacing w:after="40"/>
        <w:ind w:left="432" w:hanging="432"/>
      </w:pPr>
      <w:r>
        <w:rPr>
          <w:rFonts w:ascii="Times New Roman" w:hAnsi="Times New Roman"/>
          <w:sz w:val="16"/>
        </w:rPr>
        <w:t>[7]  A. Buades, B. Coll, and J.-M. Morel, "A non-local algorithm for image denoising," in Proc. IEEE CVPR, vol. 2, 2005, pp. 60–65.</w:t>
      </w:r>
    </w:p>
    <w:p>
      <w:pPr>
        <w:spacing w:after="40"/>
        <w:ind w:left="432" w:hanging="432"/>
      </w:pPr>
      <w:r>
        <w:rPr>
          <w:rFonts w:ascii="Times New Roman" w:hAnsi="Times New Roman"/>
          <w:sz w:val="16"/>
        </w:rPr>
        <w:t>[8]  C. Tomasi and R. Manduchi, "Bilateral filtering for gray and color images," in Proc. IEEE ICCV, 1998, pp. 839–846.</w:t>
      </w:r>
    </w:p>
    <w:p>
      <w:pPr>
        <w:spacing w:after="40"/>
        <w:ind w:left="432" w:hanging="432"/>
      </w:pPr>
      <w:r>
        <w:rPr>
          <w:rFonts w:ascii="Times New Roman" w:hAnsi="Times New Roman"/>
          <w:sz w:val="16"/>
        </w:rPr>
        <w:t>[9]  I. Pratikakis, B. Gatos, and K. Ntirogiannis, "ICDAR document image binarization contest (DIBCO)," in Int. Conf. Document Anal. Recognit., 2019.</w:t>
      </w:r>
    </w:p>
    <w:p>
      <w:pPr>
        <w:spacing w:after="40"/>
        <w:ind w:left="432" w:hanging="432"/>
      </w:pPr>
      <w:r>
        <w:rPr>
          <w:rFonts w:ascii="Times New Roman" w:hAnsi="Times New Roman"/>
          <w:sz w:val="16"/>
        </w:rPr>
        <w:t>[10] Z. Wang, A. C. Bovik, H. R. Sheikh, and E. P. Simoncelli, "Image quality assessment: From error visibility to structural similarity," IEEE Trans. Image Process., vol. 13, no. 4, pp. 600–612, Apr. 2004.</w:t>
      </w:r>
    </w:p>
    <w:sectPr w:rsidR="00FC693F" w:rsidRPr="0006063C" w:rsidSect="00034616">
      <w:pgSz w:w="12240" w:h="15840"/>
      <w:pgMar w:top="1080" w:right="900" w:bottom="108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