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b/>
          <w:color w:val="5B6573"/>
          <w:sz w:val="22"/>
        </w:rPr>
        <w:t>BIRLA INSTITUTE OF TECHNOLOGY &amp; SCIENCE, PILANI</w:t>
      </w:r>
    </w:p>
    <w:p>
      <w:pPr>
        <w:spacing w:after="500"/>
      </w:pPr>
      <w:r>
        <w:rPr>
          <w:color w:val="137C8B"/>
          <w:sz w:val="18"/>
        </w:rPr>
        <w:t>Work Integrated Learning Programmes  |  Machine Learning Operations</w:t>
      </w:r>
    </w:p>
    <w:p>
      <w:pPr>
        <w:spacing w:after="180"/>
      </w:pPr>
      <w:r>
        <w:rPr>
          <w:rFonts w:ascii="Arial" w:hAnsi="Arial"/>
          <w:b/>
          <w:color w:val="000000"/>
          <w:sz w:val="50"/>
        </w:rPr>
        <w:t>End to End MLOps for Heart Disease Risk Prediction</w:t>
      </w:r>
    </w:p>
    <w:p>
      <w:pPr>
        <w:spacing w:after="480"/>
      </w:pPr>
      <w:r>
        <w:rPr>
          <w:b/>
          <w:color w:val="183153"/>
          <w:sz w:val="26"/>
        </w:rPr>
        <w:t>AIMLZG523  |  Assignment 01</w:t>
      </w:r>
    </w:p>
    <w:p>
      <w:pPr>
        <w:spacing w:after="40"/>
      </w:pPr>
      <w:r>
        <w:rPr>
          <w:b/>
          <w:sz w:val="18"/>
        </w:rPr>
        <w:t>Name: Ujjwal</w:t>
        <w:br/>
        <w:t>Student ID  2025ae05260</w:t>
      </w:r>
      <w:r>
        <w:rPr>
          <w:sz w:val="18"/>
        </w:rPr>
      </w:r>
    </w:p>
    <w:p>
      <w:pPr>
        <w:spacing w:after="40"/>
      </w:pPr>
      <w:r>
        <w:rPr>
          <w:b/>
          <w:sz w:val="18"/>
        </w:rPr>
        <w:t xml:space="preserve">BITS email  </w:t>
      </w:r>
      <w:r>
        <w:rPr>
          <w:sz w:val="18"/>
        </w:rPr>
        <w:t>2025ae05260@wilp.bits-pilani.ac.in</w:t>
      </w:r>
    </w:p>
    <w:p>
      <w:pPr>
        <w:spacing w:after="40"/>
      </w:pPr>
      <w:r>
        <w:rPr>
          <w:b/>
          <w:sz w:val="18"/>
        </w:rPr>
        <w:t xml:space="preserve">Submission date  </w:t>
      </w:r>
      <w:r>
        <w:rPr>
          <w:sz w:val="18"/>
        </w:rPr>
        <w:t>20 October 2026</w:t>
      </w:r>
    </w:p>
    <w:p>
      <w:pPr>
        <w:spacing w:after="80"/>
      </w:pPr>
      <w:r>
        <w:rPr>
          <w:b/>
          <w:sz w:val="18"/>
        </w:rPr>
        <w:t xml:space="preserve">GitHub repository  </w:t>
      </w:r>
      <w:hyperlink r:id="rId10">
        <w:r>
          <w:rPr>
            <w:color w:val="137C8B"/>
            <w:u w:val="single"/>
          </w:rPr>
          <w:t>github.com/UjjwalSk/mlops-assignment-1</w:t>
        </w:r>
      </w:hyperlink>
    </w:p>
    <w:p>
      <w:pPr>
        <w:pStyle w:val="Heading2"/>
        <w:spacing w:before="360"/>
      </w:pPr>
      <w:r>
        <w:t>Executive summary</w:t>
      </w:r>
    </w:p>
    <w:p>
      <w:pPr>
        <w:spacing w:after="140" w:line="259" w:lineRule="auto"/>
      </w:pPr>
      <w:r>
        <w:t>This project implements a reproducible machine-learning workflow for binary classification on the Cleveland subset of the UCI Heart Disease dataset. The workflow prepares and validates 303 records, explores the data, tunes Logistic Regression and Random Forest models, records experiments in MLflow, packages the selected scikit-learn pipeline, and serves predictions through a FastAPI application. Automated checks, a Docker Compose monitoring stack, and Kubernetes manifests complete the delivery path.</w:t>
      </w:r>
    </w:p>
    <w:p>
      <w:pPr>
        <w:spacing w:after="140" w:line="259" w:lineRule="auto"/>
      </w:pPr>
      <w:r>
        <w:t>The refreshed run selected Logistic Regression because it achieved the higher holdout ROC-AUC (0.9578). Random Forest achieved higher accuracy (90.16%) and recall (96.43%), so the choice depends on the stated ranking metric rather than a claim that one model dominates every measure. The API and monitoring stack were exercised on the BITS Prayogshala remote machine; Minikube showed two running replicas and a successful port-forward health check. The cluster did not expose a LoadBalancer address, and the HPA reported unknown resource metrics during the recorded run.</w:t>
      </w:r>
    </w:p>
    <w:tbl>
      <w:tblPr>
        <w:tblW w:type="auto" w:w="0"/>
        <w:jc w:val="center"/>
        <w:tblLayout w:type="fixed"/>
        <w:tblLook w:firstColumn="1" w:firstRow="1" w:lastColumn="0" w:lastRow="0" w:noHBand="0" w:noVBand="1" w:val="04A0"/>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Pr>
      <w:tblGrid>
        <w:gridCol w:w="4831"/>
        <w:gridCol w:w="4831"/>
      </w:tblGrid>
      <w:tr>
        <w:trPr>
          <w:tblHeader w:val="true"/>
        </w:trPr>
        <w:tc>
          <w:tcPr>
            <w:tcW w:type="dxa" w:w="2520"/>
            <w:vAlign w:val="center"/>
            <w:tcMar>
              <w:top w:w="100" w:type="dxa"/>
              <w:start w:w="110" w:type="dxa"/>
              <w:bottom w:w="100" w:type="dxa"/>
              <w:end w:w="110" w:type="dxa"/>
            </w:tcMar>
            <w:shd w:fill="183153"/>
          </w:tcPr>
          <w:p>
            <w:pPr>
              <w:spacing w:after="0" w:before="0" w:line="240" w:lineRule="auto"/>
            </w:pPr>
            <w:r>
              <w:rPr>
                <w:rFonts w:ascii="Arial" w:hAnsi="Arial"/>
                <w:b/>
                <w:color w:val="FFFFFF"/>
                <w:sz w:val="16"/>
              </w:rPr>
              <w:t>Evidence area</w:t>
            </w:r>
          </w:p>
        </w:tc>
        <w:tc>
          <w:tcPr>
            <w:tcW w:type="dxa" w:w="6984"/>
            <w:vAlign w:val="center"/>
            <w:tcMar>
              <w:top w:w="100" w:type="dxa"/>
              <w:start w:w="110" w:type="dxa"/>
              <w:bottom w:w="100" w:type="dxa"/>
              <w:end w:w="110" w:type="dxa"/>
            </w:tcMar>
            <w:shd w:fill="183153"/>
          </w:tcPr>
          <w:p>
            <w:pPr>
              <w:spacing w:after="0" w:before="0" w:line="240" w:lineRule="auto"/>
              <w:jc w:val="center"/>
            </w:pPr>
            <w:r>
              <w:rPr>
                <w:rFonts w:ascii="Arial" w:hAnsi="Arial"/>
                <w:b/>
                <w:color w:val="FFFFFF"/>
                <w:sz w:val="16"/>
              </w:rPr>
              <w:t>Recorded result</w:t>
            </w:r>
          </w:p>
        </w:tc>
      </w:tr>
      <w:tr>
        <w:trPr/>
        <w:tc>
          <w:tcPr>
            <w:tcW w:type="dxa" w:w="2520"/>
            <w:vAlign w:val="center"/>
            <w:tcMar>
              <w:top w:w="100" w:type="dxa"/>
              <w:start w:w="110" w:type="dxa"/>
              <w:bottom w:w="100" w:type="dxa"/>
              <w:end w:w="110" w:type="dxa"/>
            </w:tcMar>
          </w:tcPr>
          <w:p>
            <w:pPr>
              <w:spacing w:after="0" w:before="0" w:line="240" w:lineRule="auto"/>
            </w:pPr>
            <w:r>
              <w:rPr>
                <w:rFonts w:ascii="Arial" w:hAnsi="Arial"/>
                <w:sz w:val="16"/>
              </w:rPr>
              <w:t>Prepared data</w:t>
            </w:r>
          </w:p>
        </w:tc>
        <w:tc>
          <w:tcPr>
            <w:tcW w:type="dxa" w:w="6984"/>
            <w:vAlign w:val="center"/>
            <w:tcMar>
              <w:top w:w="100" w:type="dxa"/>
              <w:start w:w="110" w:type="dxa"/>
              <w:bottom w:w="100" w:type="dxa"/>
              <w:end w:w="110" w:type="dxa"/>
            </w:tcMar>
          </w:tcPr>
          <w:p>
            <w:pPr>
              <w:spacing w:after="0" w:before="0" w:line="240" w:lineRule="auto"/>
              <w:jc w:val="center"/>
            </w:pPr>
            <w:r>
              <w:rPr>
                <w:rFonts w:ascii="Arial" w:hAnsi="Arial"/>
                <w:sz w:val="16"/>
              </w:rPr>
              <w:t>303 records · 13 predictors · 6 missing values</w:t>
            </w:r>
          </w:p>
        </w:tc>
      </w:tr>
      <w:tr>
        <w:trPr/>
        <w:tc>
          <w:tcPr>
            <w:tcW w:type="dxa" w:w="2520"/>
            <w:vAlign w:val="center"/>
            <w:tcMar>
              <w:top w:w="100" w:type="dxa"/>
              <w:start w:w="110" w:type="dxa"/>
              <w:bottom w:w="100" w:type="dxa"/>
              <w:end w:w="110" w:type="dxa"/>
            </w:tcMar>
            <w:shd w:fill="F7F9FB"/>
          </w:tcPr>
          <w:p>
            <w:pPr>
              <w:spacing w:after="0" w:before="0" w:line="240" w:lineRule="auto"/>
            </w:pPr>
            <w:r>
              <w:rPr>
                <w:rFonts w:ascii="Arial" w:hAnsi="Arial"/>
                <w:sz w:val="16"/>
              </w:rPr>
              <w:t>Best holdout ROC-AUC</w:t>
            </w:r>
          </w:p>
        </w:tc>
        <w:tc>
          <w:tcPr>
            <w:tcW w:type="dxa" w:w="6984"/>
            <w:vAlign w:val="center"/>
            <w:tcMar>
              <w:top w:w="100" w:type="dxa"/>
              <w:start w:w="110" w:type="dxa"/>
              <w:bottom w:w="100" w:type="dxa"/>
              <w:end w:w="110" w:type="dxa"/>
            </w:tcMar>
            <w:shd w:fill="F7F9FB"/>
          </w:tcPr>
          <w:p>
            <w:pPr>
              <w:spacing w:after="0" w:before="0" w:line="240" w:lineRule="auto"/>
              <w:jc w:val="center"/>
            </w:pPr>
            <w:r>
              <w:rPr>
                <w:rFonts w:ascii="Arial" w:hAnsi="Arial"/>
                <w:sz w:val="16"/>
              </w:rPr>
              <w:t>0.9578 · Logistic Regression</w:t>
            </w:r>
          </w:p>
        </w:tc>
      </w:tr>
      <w:tr>
        <w:trPr/>
        <w:tc>
          <w:tcPr>
            <w:tcW w:type="dxa" w:w="2520"/>
            <w:vAlign w:val="center"/>
            <w:tcMar>
              <w:top w:w="100" w:type="dxa"/>
              <w:start w:w="110" w:type="dxa"/>
              <w:bottom w:w="100" w:type="dxa"/>
              <w:end w:w="110" w:type="dxa"/>
            </w:tcMar>
          </w:tcPr>
          <w:p>
            <w:pPr>
              <w:spacing w:after="0" w:before="0" w:line="240" w:lineRule="auto"/>
            </w:pPr>
            <w:r>
              <w:rPr>
                <w:rFonts w:ascii="Arial" w:hAnsi="Arial"/>
                <w:sz w:val="16"/>
              </w:rPr>
              <w:t>Automated checks</w:t>
            </w:r>
          </w:p>
        </w:tc>
        <w:tc>
          <w:tcPr>
            <w:tcW w:type="dxa" w:w="6984"/>
            <w:vAlign w:val="center"/>
            <w:tcMar>
              <w:top w:w="100" w:type="dxa"/>
              <w:start w:w="110" w:type="dxa"/>
              <w:bottom w:w="100" w:type="dxa"/>
              <w:end w:w="110" w:type="dxa"/>
            </w:tcMar>
          </w:tcPr>
          <w:p>
            <w:pPr>
              <w:spacing w:after="0" w:before="0" w:line="240" w:lineRule="auto"/>
              <w:jc w:val="center"/>
            </w:pPr>
            <w:r>
              <w:rPr>
                <w:rFonts w:ascii="Arial" w:hAnsi="Arial"/>
                <w:sz w:val="16"/>
              </w:rPr>
              <w:t>13 tests passed · Ruff checks passed</w:t>
            </w:r>
          </w:p>
        </w:tc>
      </w:tr>
      <w:tr>
        <w:trPr/>
        <w:tc>
          <w:tcPr>
            <w:tcW w:type="dxa" w:w="2520"/>
            <w:vAlign w:val="center"/>
            <w:tcMar>
              <w:top w:w="100" w:type="dxa"/>
              <w:start w:w="110" w:type="dxa"/>
              <w:bottom w:w="100" w:type="dxa"/>
              <w:end w:w="110" w:type="dxa"/>
            </w:tcMar>
            <w:shd w:fill="F7F9FB"/>
          </w:tcPr>
          <w:p>
            <w:pPr>
              <w:spacing w:after="0" w:before="0" w:line="240" w:lineRule="auto"/>
            </w:pPr>
            <w:r>
              <w:rPr>
                <w:rFonts w:ascii="Arial" w:hAnsi="Arial"/>
                <w:sz w:val="16"/>
              </w:rPr>
              <w:t>Runtime evidence</w:t>
            </w:r>
          </w:p>
        </w:tc>
        <w:tc>
          <w:tcPr>
            <w:tcW w:type="dxa" w:w="6984"/>
            <w:vAlign w:val="center"/>
            <w:tcMar>
              <w:top w:w="100" w:type="dxa"/>
              <w:start w:w="110" w:type="dxa"/>
              <w:bottom w:w="100" w:type="dxa"/>
              <w:end w:w="110" w:type="dxa"/>
            </w:tcMar>
            <w:shd w:fill="F7F9FB"/>
          </w:tcPr>
          <w:p>
            <w:pPr>
              <w:spacing w:after="0" w:before="0" w:line="240" w:lineRule="auto"/>
              <w:jc w:val="center"/>
            </w:pPr>
            <w:r>
              <w:rPr>
                <w:rFonts w:ascii="Arial" w:hAnsi="Arial"/>
                <w:sz w:val="16"/>
              </w:rPr>
              <w:t>API, Docker Compose monitoring, and Minikube screenshots</w:t>
            </w:r>
          </w:p>
        </w:tc>
      </w:tr>
    </w:tbl>
    <w:p>
      <w:pPr>
        <w:spacing w:after="0" w:line="259" w:lineRule="auto" w:before="160"/>
      </w:pPr>
      <w:r>
        <w:rPr>
          <w:b/>
          <w:sz w:val="16"/>
        </w:rPr>
        <w:t>Scope:</w:t>
      </w:r>
      <w:r>
        <w:rPr>
          <w:sz w:val="16"/>
        </w:rPr>
        <w:t xml:space="preserve"> this is an academic prototype based on a small historical dataset. It is not a clinical device and is not intended for diagnosis or treatment.</w:t>
      </w:r>
    </w:p>
    <w:p>
      <w:r>
        <w:br w:type="page"/>
      </w:r>
    </w:p>
    <w:p>
      <w:pPr>
        <w:spacing w:after="60"/>
      </w:pPr>
      <w:r>
        <w:rPr>
          <w:rFonts w:ascii="Arial" w:hAnsi="Arial"/>
          <w:b/>
          <w:color w:val="137C8B"/>
          <w:sz w:val="16"/>
        </w:rPr>
        <w:t>01  SYSTEM DESIGN</w:t>
      </w:r>
    </w:p>
    <w:p>
      <w:pPr>
        <w:pStyle w:val="Heading1"/>
      </w:pPr>
      <w:r>
        <w:t>Architecture and MLOps workflow</w:t>
      </w:r>
    </w:p>
    <w:p>
      <w:pPr>
        <w:spacing w:after="160"/>
      </w:pPr>
      <w:r>
        <w:rPr>
          <w:i/>
          <w:color w:val="5B6573"/>
          <w:sz w:val="18"/>
        </w:rPr>
        <w:t>The implemented path connects model development to a monitored API while keeping training and serving artifacts reproducible.</w:t>
      </w:r>
    </w:p>
    <w:p>
      <w:pPr>
        <w:spacing w:after="60"/>
        <w:jc w:val="center"/>
      </w:pPr>
      <w:r>
        <w:drawing>
          <wp:inline xmlns:a="http://schemas.openxmlformats.org/drawingml/2006/main" xmlns:pic="http://schemas.openxmlformats.org/drawingml/2006/picture">
            <wp:extent cx="6080760" cy="2660332"/>
            <wp:docPr id="1" name="Picture 1" descr="Architecture diagram: UCI data preparation, model tuning and MLflow, Joblib packaging, FastAPI container, CI, Kubernetes, Prometheus and Grafana."/>
            <wp:cNvGraphicFramePr>
              <a:graphicFrameLocks noChangeAspect="1"/>
            </wp:cNvGraphicFramePr>
            <a:graphic>
              <a:graphicData uri="http://schemas.openxmlformats.org/drawingml/2006/picture">
                <pic:pic>
                  <pic:nvPicPr>
                    <pic:cNvPr id="0" name="heart_risk_architecture.png"/>
                    <pic:cNvPicPr/>
                  </pic:nvPicPr>
                  <pic:blipFill>
                    <a:blip r:embed="rId11"/>
                    <a:stretch>
                      <a:fillRect/>
                    </a:stretch>
                  </pic:blipFill>
                  <pic:spPr>
                    <a:xfrm>
                      <a:off x="0" y="0"/>
                      <a:ext cx="6080760" cy="2660332"/>
                    </a:xfrm>
                    <a:prstGeom prst="rect"/>
                  </pic:spPr>
                </pic:pic>
              </a:graphicData>
            </a:graphic>
          </wp:inline>
        </w:drawing>
      </w:r>
    </w:p>
    <w:p>
      <w:pPr>
        <w:keepNext w:val="0"/>
        <w:spacing w:before="0" w:after="140"/>
        <w:jc w:val="center"/>
      </w:pPr>
      <w:r>
        <w:rPr>
          <w:rFonts w:ascii="Arial" w:hAnsi="Arial"/>
          <w:i/>
          <w:color w:val="5B6573"/>
          <w:sz w:val="16"/>
        </w:rPr>
        <w:t>Figure 1. Implemented training, packaging, serving and monitoring components.</w:t>
      </w:r>
    </w:p>
    <w:p>
      <w:pPr>
        <w:spacing w:after="140" w:line="259" w:lineRule="auto"/>
      </w:pPr>
      <w:r>
        <w:t>The training path starts with the supplied UCI archive. A preparation script converts missing-value markers, validates the schema and writes a processed CSV. A scikit-learn Pipeline keeps imputation, scaling and encoding inside cross-validation, reducing the risk of preprocessing leakage. GridSearchCV tunes two classifiers; MLflow stores run parameters, metrics and artifacts. The selected fitted pipeline is serialized to Joblib for API inference.</w:t>
      </w:r>
    </w:p>
    <w:p>
      <w:pPr>
        <w:spacing w:after="140" w:line="259" w:lineRule="auto"/>
      </w:pPr>
      <w:r>
        <w:t>The runtime path uses FastAPI with cached model loading and three operational endpoints: /health, /predict and /metrics. Docker Compose runs the API alongside Prometheus and Grafana. For the recorded Prayogshala run, Kubernetes resources were applied in the heart-risk namespace through Minikube; the service was checked through kubectl port-forward.</w:t>
      </w:r>
    </w:p>
    <w:p>
      <w:pPr>
        <w:spacing w:after="100" w:line="259" w:lineRule="auto"/>
      </w:pPr>
      <w:r>
        <w:t>GitHub Actions is configured to lint, prepare data, train, run tests and upload artifacts. The workflow definition is present in the repository; this report records local test and remote deployment evidence, not a claim that a hosted GitHub Actions run completed.</w:t>
      </w:r>
    </w:p>
    <w:p>
      <w:pPr>
        <w:pStyle w:val="Heading2"/>
      </w:pPr>
      <w:r>
        <w:t>Implementation traceability</w:t>
      </w:r>
    </w:p>
    <w:tbl>
      <w:tblPr>
        <w:tblW w:type="auto" w:w="0"/>
        <w:jc w:val="center"/>
        <w:tblLayout w:type="fixed"/>
        <w:tblLook w:firstColumn="1" w:firstRow="1" w:lastColumn="0" w:lastRow="0" w:noHBand="0" w:noVBand="1" w:val="04A0"/>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Pr>
      <w:tblGrid>
        <w:gridCol w:w="4831"/>
        <w:gridCol w:w="4831"/>
      </w:tblGrid>
      <w:tr>
        <w:trPr>
          <w:tblHeader w:val="true"/>
        </w:trPr>
        <w:tc>
          <w:tcPr>
            <w:tcW w:type="dxa" w:w="2952"/>
            <w:vAlign w:val="center"/>
            <w:tcMar>
              <w:top w:w="100" w:type="dxa"/>
              <w:start w:w="110" w:type="dxa"/>
              <w:bottom w:w="100" w:type="dxa"/>
              <w:end w:w="110" w:type="dxa"/>
            </w:tcMar>
            <w:shd w:fill="183153"/>
          </w:tcPr>
          <w:p>
            <w:pPr>
              <w:spacing w:after="0" w:before="0" w:line="240" w:lineRule="auto"/>
            </w:pPr>
            <w:r>
              <w:rPr>
                <w:rFonts w:ascii="Arial" w:hAnsi="Arial"/>
                <w:b/>
                <w:color w:val="FFFFFF"/>
                <w:sz w:val="16"/>
              </w:rPr>
              <w:t>Component</w:t>
            </w:r>
          </w:p>
        </w:tc>
        <w:tc>
          <w:tcPr>
            <w:tcW w:type="dxa" w:w="6552"/>
            <w:vAlign w:val="center"/>
            <w:tcMar>
              <w:top w:w="100" w:type="dxa"/>
              <w:start w:w="110" w:type="dxa"/>
              <w:bottom w:w="100" w:type="dxa"/>
              <w:end w:w="110" w:type="dxa"/>
            </w:tcMar>
            <w:shd w:fill="183153"/>
          </w:tcPr>
          <w:p>
            <w:pPr>
              <w:spacing w:after="0" w:before="0" w:line="240" w:lineRule="auto"/>
              <w:jc w:val="center"/>
            </w:pPr>
            <w:r>
              <w:rPr>
                <w:rFonts w:ascii="Arial" w:hAnsi="Arial"/>
                <w:b/>
                <w:color w:val="FFFFFF"/>
                <w:sz w:val="16"/>
              </w:rPr>
              <w:t>Repository evidence</w:t>
            </w:r>
          </w:p>
        </w:tc>
      </w:tr>
      <w:tr>
        <w:trPr/>
        <w:tc>
          <w:tcPr>
            <w:tcW w:type="dxa" w:w="2952"/>
            <w:vAlign w:val="center"/>
            <w:tcMar>
              <w:top w:w="100" w:type="dxa"/>
              <w:start w:w="110" w:type="dxa"/>
              <w:bottom w:w="100" w:type="dxa"/>
              <w:end w:w="110" w:type="dxa"/>
            </w:tcMar>
          </w:tcPr>
          <w:p>
            <w:pPr>
              <w:spacing w:after="0" w:before="0" w:line="240" w:lineRule="auto"/>
            </w:pPr>
            <w:r>
              <w:rPr>
                <w:rFonts w:ascii="Arial" w:hAnsi="Arial"/>
                <w:sz w:val="16"/>
              </w:rPr>
              <w:t>Preparation and EDA</w:t>
            </w:r>
          </w:p>
        </w:tc>
        <w:tc>
          <w:tcPr>
            <w:tcW w:type="dxa" w:w="6552"/>
            <w:vAlign w:val="center"/>
            <w:tcMar>
              <w:top w:w="100" w:type="dxa"/>
              <w:start w:w="110" w:type="dxa"/>
              <w:bottom w:w="100" w:type="dxa"/>
              <w:end w:w="110" w:type="dxa"/>
            </w:tcMar>
          </w:tcPr>
          <w:p>
            <w:pPr>
              <w:spacing w:after="0" w:before="0" w:line="240" w:lineRule="auto"/>
              <w:jc w:val="center"/>
            </w:pPr>
            <w:r>
              <w:rPr>
                <w:rFonts w:ascii="Arial" w:hAnsi="Arial"/>
                <w:sz w:val="16"/>
              </w:rPr>
              <w:t>scripts/prepare_data.py · scripts/run_eda.py</w:t>
            </w:r>
          </w:p>
        </w:tc>
      </w:tr>
      <w:tr>
        <w:trPr/>
        <w:tc>
          <w:tcPr>
            <w:tcW w:type="dxa" w:w="2952"/>
            <w:vAlign w:val="center"/>
            <w:tcMar>
              <w:top w:w="100" w:type="dxa"/>
              <w:start w:w="110" w:type="dxa"/>
              <w:bottom w:w="100" w:type="dxa"/>
              <w:end w:w="110" w:type="dxa"/>
            </w:tcMar>
            <w:shd w:fill="F7F9FB"/>
          </w:tcPr>
          <w:p>
            <w:pPr>
              <w:spacing w:after="0" w:before="0" w:line="240" w:lineRule="auto"/>
            </w:pPr>
            <w:r>
              <w:rPr>
                <w:rFonts w:ascii="Arial" w:hAnsi="Arial"/>
                <w:sz w:val="16"/>
              </w:rPr>
              <w:t>Training and tracking</w:t>
            </w:r>
          </w:p>
        </w:tc>
        <w:tc>
          <w:tcPr>
            <w:tcW w:type="dxa" w:w="6552"/>
            <w:vAlign w:val="center"/>
            <w:tcMar>
              <w:top w:w="100" w:type="dxa"/>
              <w:start w:w="110" w:type="dxa"/>
              <w:bottom w:w="100" w:type="dxa"/>
              <w:end w:w="110" w:type="dxa"/>
            </w:tcMar>
            <w:shd w:fill="F7F9FB"/>
          </w:tcPr>
          <w:p>
            <w:pPr>
              <w:spacing w:after="0" w:before="0" w:line="240" w:lineRule="auto"/>
              <w:jc w:val="center"/>
            </w:pPr>
            <w:r>
              <w:rPr>
                <w:rFonts w:ascii="Arial" w:hAnsi="Arial"/>
                <w:sz w:val="16"/>
              </w:rPr>
              <w:t>src/heart_risk/train.py · MLflow runs · artifacts/</w:t>
            </w:r>
          </w:p>
        </w:tc>
      </w:tr>
      <w:tr>
        <w:trPr/>
        <w:tc>
          <w:tcPr>
            <w:tcW w:type="dxa" w:w="2952"/>
            <w:vAlign w:val="center"/>
            <w:tcMar>
              <w:top w:w="100" w:type="dxa"/>
              <w:start w:w="110" w:type="dxa"/>
              <w:bottom w:w="100" w:type="dxa"/>
              <w:end w:w="110" w:type="dxa"/>
            </w:tcMar>
          </w:tcPr>
          <w:p>
            <w:pPr>
              <w:spacing w:after="0" w:before="0" w:line="240" w:lineRule="auto"/>
            </w:pPr>
            <w:r>
              <w:rPr>
                <w:rFonts w:ascii="Arial" w:hAnsi="Arial"/>
                <w:sz w:val="16"/>
              </w:rPr>
              <w:t>Serving and tests</w:t>
            </w:r>
          </w:p>
        </w:tc>
        <w:tc>
          <w:tcPr>
            <w:tcW w:type="dxa" w:w="6552"/>
            <w:vAlign w:val="center"/>
            <w:tcMar>
              <w:top w:w="100" w:type="dxa"/>
              <w:start w:w="110" w:type="dxa"/>
              <w:bottom w:w="100" w:type="dxa"/>
              <w:end w:w="110" w:type="dxa"/>
            </w:tcMar>
          </w:tcPr>
          <w:p>
            <w:pPr>
              <w:spacing w:after="0" w:before="0" w:line="240" w:lineRule="auto"/>
              <w:jc w:val="center"/>
            </w:pPr>
            <w:r>
              <w:rPr>
                <w:rFonts w:ascii="Arial" w:hAnsi="Arial"/>
                <w:sz w:val="16"/>
              </w:rPr>
              <w:t>src/heart_risk/api.py · tests/ · Dockerfile</w:t>
            </w:r>
          </w:p>
        </w:tc>
      </w:tr>
      <w:tr>
        <w:trPr/>
        <w:tc>
          <w:tcPr>
            <w:tcW w:type="dxa" w:w="2952"/>
            <w:vAlign w:val="center"/>
            <w:tcMar>
              <w:top w:w="100" w:type="dxa"/>
              <w:start w:w="110" w:type="dxa"/>
              <w:bottom w:w="100" w:type="dxa"/>
              <w:end w:w="110" w:type="dxa"/>
            </w:tcMar>
            <w:shd w:fill="F7F9FB"/>
          </w:tcPr>
          <w:p>
            <w:pPr>
              <w:spacing w:after="0" w:before="0" w:line="240" w:lineRule="auto"/>
            </w:pPr>
            <w:r>
              <w:rPr>
                <w:rFonts w:ascii="Arial" w:hAnsi="Arial"/>
                <w:sz w:val="16"/>
              </w:rPr>
              <w:t>Deployment and telemetry</w:t>
            </w:r>
          </w:p>
        </w:tc>
        <w:tc>
          <w:tcPr>
            <w:tcW w:type="dxa" w:w="6552"/>
            <w:vAlign w:val="center"/>
            <w:tcMar>
              <w:top w:w="100" w:type="dxa"/>
              <w:start w:w="110" w:type="dxa"/>
              <w:bottom w:w="100" w:type="dxa"/>
              <w:end w:w="110" w:type="dxa"/>
            </w:tcMar>
            <w:shd w:fill="F7F9FB"/>
          </w:tcPr>
          <w:p>
            <w:pPr>
              <w:spacing w:after="0" w:before="0" w:line="240" w:lineRule="auto"/>
              <w:jc w:val="center"/>
            </w:pPr>
            <w:r>
              <w:rPr>
                <w:rFonts w:ascii="Arial" w:hAnsi="Arial"/>
                <w:sz w:val="16"/>
              </w:rPr>
              <w:t>k8s/ · monitoring/ · docker-compose.yml</w:t>
            </w:r>
          </w:p>
        </w:tc>
      </w:tr>
    </w:tbl>
    <w:p>
      <w:r>
        <w:br w:type="page"/>
      </w:r>
    </w:p>
    <w:p>
      <w:pPr>
        <w:spacing w:after="60"/>
      </w:pPr>
      <w:r>
        <w:rPr>
          <w:rFonts w:ascii="Arial" w:hAnsi="Arial"/>
          <w:b/>
          <w:color w:val="137C8B"/>
          <w:sz w:val="16"/>
        </w:rPr>
        <w:t>02  DATA UNDERSTANDING</w:t>
      </w:r>
    </w:p>
    <w:p>
      <w:pPr>
        <w:pStyle w:val="Heading1"/>
      </w:pPr>
      <w:r>
        <w:t>Dataset preparation and exploratory analysis</w:t>
      </w:r>
    </w:p>
    <w:p>
      <w:pPr>
        <w:spacing w:after="160"/>
      </w:pPr>
      <w:r>
        <w:rPr>
          <w:i/>
          <w:color w:val="5B6573"/>
          <w:sz w:val="18"/>
        </w:rPr>
        <w:t>The report uses the Cleveland subset and the project’s refreshed EDA outputs.</w:t>
      </w:r>
    </w:p>
    <w:p>
      <w:pPr>
        <w:spacing w:after="120" w:line="259" w:lineRule="auto"/>
      </w:pPr>
      <w:r>
        <w:t>The processed file contains 303 patient records and 13 predictors. The source target has values 0–4; the pipeline maps 0 to the absence class and values greater than 0 to the presence class. Six feature values were missing in the analyzed data and are handled by model-pipeline imputers. The class counts are 164 absence cases and 139 presence cases (45.9% positive).</w:t>
      </w:r>
    </w:p>
    <w:tbl>
      <w:tblPr>
        <w:tblW w:type="auto" w:w="0"/>
        <w:jc w:val="center"/>
        <w:tblLayout w:type="fixed"/>
        <w:tblLook w:firstColumn="1" w:firstRow="1" w:lastColumn="0" w:lastRow="0" w:noHBand="0" w:noVBand="1" w:val="04A0"/>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Pr>
      <w:tblGrid>
        <w:gridCol w:w="4831"/>
        <w:gridCol w:w="4831"/>
      </w:tblGrid>
      <w:tr>
        <w:trPr>
          <w:tblHeader w:val="true"/>
        </w:trPr>
        <w:tc>
          <w:tcPr>
            <w:tcW w:type="dxa" w:w="5112"/>
            <w:vAlign w:val="center"/>
            <w:tcMar>
              <w:top w:w="100" w:type="dxa"/>
              <w:start w:w="110" w:type="dxa"/>
              <w:bottom w:w="100" w:type="dxa"/>
              <w:end w:w="110" w:type="dxa"/>
            </w:tcMar>
            <w:shd w:fill="183153"/>
          </w:tcPr>
          <w:p>
            <w:pPr>
              <w:spacing w:after="0" w:before="0" w:line="240" w:lineRule="auto"/>
            </w:pPr>
            <w:r>
              <w:rPr>
                <w:rFonts w:ascii="Arial" w:hAnsi="Arial"/>
                <w:b/>
                <w:color w:val="FFFFFF"/>
                <w:sz w:val="17"/>
              </w:rPr>
              <w:t>Dataset measure</w:t>
            </w:r>
          </w:p>
        </w:tc>
        <w:tc>
          <w:tcPr>
            <w:tcW w:type="dxa" w:w="4392"/>
            <w:vAlign w:val="center"/>
            <w:tcMar>
              <w:top w:w="100" w:type="dxa"/>
              <w:start w:w="110" w:type="dxa"/>
              <w:bottom w:w="100" w:type="dxa"/>
              <w:end w:w="110" w:type="dxa"/>
            </w:tcMar>
            <w:shd w:fill="183153"/>
          </w:tcPr>
          <w:p>
            <w:pPr>
              <w:spacing w:after="0" w:before="0" w:line="240" w:lineRule="auto"/>
              <w:jc w:val="center"/>
            </w:pPr>
            <w:r>
              <w:rPr>
                <w:rFonts w:ascii="Arial" w:hAnsi="Arial"/>
                <w:b/>
                <w:color w:val="FFFFFF"/>
                <w:sz w:val="17"/>
              </w:rPr>
              <w:t>Run value</w:t>
            </w:r>
          </w:p>
        </w:tc>
      </w:tr>
      <w:tr>
        <w:trPr/>
        <w:tc>
          <w:tcPr>
            <w:tcW w:type="dxa" w:w="5112"/>
            <w:vAlign w:val="center"/>
            <w:tcMar>
              <w:top w:w="100" w:type="dxa"/>
              <w:start w:w="110" w:type="dxa"/>
              <w:bottom w:w="100" w:type="dxa"/>
              <w:end w:w="110" w:type="dxa"/>
            </w:tcMar>
          </w:tcPr>
          <w:p>
            <w:pPr>
              <w:spacing w:after="0" w:before="0" w:line="240" w:lineRule="auto"/>
            </w:pPr>
            <w:r>
              <w:rPr>
                <w:rFonts w:ascii="Arial" w:hAnsi="Arial"/>
                <w:sz w:val="17"/>
              </w:rPr>
              <w:t>Observations</w:t>
            </w:r>
          </w:p>
        </w:tc>
        <w:tc>
          <w:tcPr>
            <w:tcW w:type="dxa" w:w="4392"/>
            <w:vAlign w:val="center"/>
            <w:tcMar>
              <w:top w:w="100" w:type="dxa"/>
              <w:start w:w="110" w:type="dxa"/>
              <w:bottom w:w="100" w:type="dxa"/>
              <w:end w:w="110" w:type="dxa"/>
            </w:tcMar>
          </w:tcPr>
          <w:p>
            <w:pPr>
              <w:spacing w:after="0" w:before="0" w:line="240" w:lineRule="auto"/>
              <w:jc w:val="center"/>
            </w:pPr>
            <w:r>
              <w:rPr>
                <w:rFonts w:ascii="Arial" w:hAnsi="Arial"/>
                <w:sz w:val="17"/>
              </w:rPr>
              <w:t>303</w:t>
            </w:r>
          </w:p>
        </w:tc>
      </w:tr>
      <w:tr>
        <w:trPr/>
        <w:tc>
          <w:tcPr>
            <w:tcW w:type="dxa" w:w="5112"/>
            <w:vAlign w:val="center"/>
            <w:tcMar>
              <w:top w:w="100" w:type="dxa"/>
              <w:start w:w="110" w:type="dxa"/>
              <w:bottom w:w="100" w:type="dxa"/>
              <w:end w:w="110" w:type="dxa"/>
            </w:tcMar>
            <w:shd w:fill="F7F9FB"/>
          </w:tcPr>
          <w:p>
            <w:pPr>
              <w:spacing w:after="0" w:before="0" w:line="240" w:lineRule="auto"/>
            </w:pPr>
            <w:r>
              <w:rPr>
                <w:rFonts w:ascii="Arial" w:hAnsi="Arial"/>
                <w:sz w:val="17"/>
              </w:rPr>
              <w:t>Predictors</w:t>
            </w:r>
          </w:p>
        </w:tc>
        <w:tc>
          <w:tcPr>
            <w:tcW w:type="dxa" w:w="4392"/>
            <w:vAlign w:val="center"/>
            <w:tcMar>
              <w:top w:w="100" w:type="dxa"/>
              <w:start w:w="110" w:type="dxa"/>
              <w:bottom w:w="100" w:type="dxa"/>
              <w:end w:w="110" w:type="dxa"/>
            </w:tcMar>
            <w:shd w:fill="F7F9FB"/>
          </w:tcPr>
          <w:p>
            <w:pPr>
              <w:spacing w:after="0" w:before="0" w:line="240" w:lineRule="auto"/>
              <w:jc w:val="center"/>
            </w:pPr>
            <w:r>
              <w:rPr>
                <w:rFonts w:ascii="Arial" w:hAnsi="Arial"/>
                <w:sz w:val="17"/>
              </w:rPr>
              <w:t>13</w:t>
            </w:r>
          </w:p>
        </w:tc>
      </w:tr>
      <w:tr>
        <w:trPr/>
        <w:tc>
          <w:tcPr>
            <w:tcW w:type="dxa" w:w="5112"/>
            <w:vAlign w:val="center"/>
            <w:tcMar>
              <w:top w:w="100" w:type="dxa"/>
              <w:start w:w="110" w:type="dxa"/>
              <w:bottom w:w="100" w:type="dxa"/>
              <w:end w:w="110" w:type="dxa"/>
            </w:tcMar>
          </w:tcPr>
          <w:p>
            <w:pPr>
              <w:spacing w:after="0" w:before="0" w:line="240" w:lineRule="auto"/>
            </w:pPr>
            <w:r>
              <w:rPr>
                <w:rFonts w:ascii="Arial" w:hAnsi="Arial"/>
                <w:sz w:val="17"/>
              </w:rPr>
              <w:t>Missing feature values</w:t>
            </w:r>
          </w:p>
        </w:tc>
        <w:tc>
          <w:tcPr>
            <w:tcW w:type="dxa" w:w="4392"/>
            <w:vAlign w:val="center"/>
            <w:tcMar>
              <w:top w:w="100" w:type="dxa"/>
              <w:start w:w="110" w:type="dxa"/>
              <w:bottom w:w="100" w:type="dxa"/>
              <w:end w:w="110" w:type="dxa"/>
            </w:tcMar>
          </w:tcPr>
          <w:p>
            <w:pPr>
              <w:spacing w:after="0" w:before="0" w:line="240" w:lineRule="auto"/>
              <w:jc w:val="center"/>
            </w:pPr>
            <w:r>
              <w:rPr>
                <w:rFonts w:ascii="Arial" w:hAnsi="Arial"/>
                <w:sz w:val="17"/>
              </w:rPr>
              <w:t>6</w:t>
            </w:r>
          </w:p>
        </w:tc>
      </w:tr>
      <w:tr>
        <w:trPr/>
        <w:tc>
          <w:tcPr>
            <w:tcW w:type="dxa" w:w="5112"/>
            <w:vAlign w:val="center"/>
            <w:tcMar>
              <w:top w:w="100" w:type="dxa"/>
              <w:start w:w="110" w:type="dxa"/>
              <w:bottom w:w="100" w:type="dxa"/>
              <w:end w:w="110" w:type="dxa"/>
            </w:tcMar>
            <w:shd w:fill="F7F9FB"/>
          </w:tcPr>
          <w:p>
            <w:pPr>
              <w:spacing w:after="0" w:before="0" w:line="240" w:lineRule="auto"/>
            </w:pPr>
            <w:r>
              <w:rPr>
                <w:rFonts w:ascii="Arial" w:hAnsi="Arial"/>
                <w:sz w:val="17"/>
              </w:rPr>
              <w:t>Target 0 · absence</w:t>
            </w:r>
          </w:p>
        </w:tc>
        <w:tc>
          <w:tcPr>
            <w:tcW w:type="dxa" w:w="4392"/>
            <w:vAlign w:val="center"/>
            <w:tcMar>
              <w:top w:w="100" w:type="dxa"/>
              <w:start w:w="110" w:type="dxa"/>
              <w:bottom w:w="100" w:type="dxa"/>
              <w:end w:w="110" w:type="dxa"/>
            </w:tcMar>
            <w:shd w:fill="F7F9FB"/>
          </w:tcPr>
          <w:p>
            <w:pPr>
              <w:spacing w:after="0" w:before="0" w:line="240" w:lineRule="auto"/>
              <w:jc w:val="center"/>
            </w:pPr>
            <w:r>
              <w:rPr>
                <w:rFonts w:ascii="Arial" w:hAnsi="Arial"/>
                <w:sz w:val="17"/>
              </w:rPr>
              <w:t>164 (54.1%)</w:t>
            </w:r>
          </w:p>
        </w:tc>
      </w:tr>
      <w:tr>
        <w:trPr/>
        <w:tc>
          <w:tcPr>
            <w:tcW w:type="dxa" w:w="5112"/>
            <w:vAlign w:val="center"/>
            <w:tcMar>
              <w:top w:w="100" w:type="dxa"/>
              <w:start w:w="110" w:type="dxa"/>
              <w:bottom w:w="100" w:type="dxa"/>
              <w:end w:w="110" w:type="dxa"/>
            </w:tcMar>
          </w:tcPr>
          <w:p>
            <w:pPr>
              <w:spacing w:after="0" w:before="0" w:line="240" w:lineRule="auto"/>
            </w:pPr>
            <w:r>
              <w:rPr>
                <w:rFonts w:ascii="Arial" w:hAnsi="Arial"/>
                <w:sz w:val="17"/>
              </w:rPr>
              <w:t>Target 1 · presence</w:t>
            </w:r>
          </w:p>
        </w:tc>
        <w:tc>
          <w:tcPr>
            <w:tcW w:type="dxa" w:w="4392"/>
            <w:vAlign w:val="center"/>
            <w:tcMar>
              <w:top w:w="100" w:type="dxa"/>
              <w:start w:w="110" w:type="dxa"/>
              <w:bottom w:w="100" w:type="dxa"/>
              <w:end w:w="110" w:type="dxa"/>
            </w:tcMar>
          </w:tcPr>
          <w:p>
            <w:pPr>
              <w:spacing w:after="0" w:before="0" w:line="240" w:lineRule="auto"/>
              <w:jc w:val="center"/>
            </w:pPr>
            <w:r>
              <w:rPr>
                <w:rFonts w:ascii="Arial" w:hAnsi="Arial"/>
                <w:sz w:val="17"/>
              </w:rPr>
              <w:t>139 (45.9%)</w:t>
            </w:r>
          </w:p>
        </w:tc>
      </w:tr>
    </w:tbl>
    <w:p>
      <w:pPr>
        <w:spacing w:after="100" w:line="259" w:lineRule="auto"/>
      </w:pPr>
      <w:r>
        <w:t>Exploratory plots summarize the age distribution, class balance and correlations. The class proportions are sufficiently close to balanced for the baseline comparison, but they do not remove the need to inspect class-specific errors. The categorical-feature charts and numerical boxplots are included with the generated figures in reports/figures/.</w:t>
      </w:r>
    </w:p>
    <w:p>
      <w:pPr>
        <w:keepLines/>
        <w:spacing w:before="20" w:after="40"/>
        <w:jc w:val="center"/>
      </w:pPr>
      <w:r>
        <w:drawing>
          <wp:inline xmlns:a="http://schemas.openxmlformats.org/drawingml/2006/main" xmlns:pic="http://schemas.openxmlformats.org/drawingml/2006/picture">
            <wp:extent cx="5897880" cy="2268415"/>
            <wp:docPr id="2" name="Picture 2" descr="Age distribution by target and target-class counts from the refreshed EDA run." title="Age distribution by target and target-class counts from the refreshed EDA run."/>
            <wp:cNvGraphicFramePr>
              <a:graphicFrameLocks noChangeAspect="1"/>
            </wp:cNvGraphicFramePr>
            <a:graphic>
              <a:graphicData uri="http://schemas.openxmlformats.org/drawingml/2006/picture">
                <pic:pic>
                  <pic:nvPicPr>
                    <pic:cNvPr id="0" name="distribution_and_balance.png"/>
                    <pic:cNvPicPr/>
                  </pic:nvPicPr>
                  <pic:blipFill>
                    <a:blip r:embed="rId12"/>
                    <a:stretch>
                      <a:fillRect/>
                    </a:stretch>
                  </pic:blipFill>
                  <pic:spPr>
                    <a:xfrm>
                      <a:off x="0" y="0"/>
                      <a:ext cx="5897880" cy="2268415"/>
                    </a:xfrm>
                    <a:prstGeom prst="rect"/>
                  </pic:spPr>
                </pic:pic>
              </a:graphicData>
            </a:graphic>
          </wp:inline>
        </w:drawing>
      </w:r>
    </w:p>
    <w:p>
      <w:pPr>
        <w:keepNext w:val="0"/>
        <w:spacing w:before="0" w:after="140"/>
        <w:jc w:val="center"/>
      </w:pPr>
      <w:r>
        <w:rPr>
          <w:rFonts w:ascii="Arial" w:hAnsi="Arial"/>
          <w:i/>
          <w:color w:val="5B6573"/>
          <w:sz w:val="16"/>
        </w:rPr>
        <w:t>Figure 2. Age distribution and target balance (reports/figures/distribution_and_balance.png).</w:t>
      </w:r>
    </w:p>
    <w:p>
      <w:pPr>
        <w:keepLines/>
        <w:spacing w:before="20" w:after="40"/>
        <w:jc w:val="center"/>
      </w:pPr>
      <w:r>
        <w:drawing>
          <wp:inline xmlns:a="http://schemas.openxmlformats.org/drawingml/2006/main" xmlns:pic="http://schemas.openxmlformats.org/drawingml/2006/picture">
            <wp:extent cx="3429000" cy="2857500"/>
            <wp:docPr id="3" name="Picture 3" descr="Correlation heatmap across the numeric and encoded features in the prepared Cleveland dataset." title="Correlation heatmap across the numeric and encoded features in the prepared Cleveland dataset."/>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3429000" cy="2857500"/>
                    </a:xfrm>
                    <a:prstGeom prst="rect"/>
                  </pic:spPr>
                </pic:pic>
              </a:graphicData>
            </a:graphic>
          </wp:inline>
        </w:drawing>
      </w:r>
    </w:p>
    <w:p>
      <w:pPr>
        <w:keepNext w:val="0"/>
        <w:spacing w:before="0" w:after="140"/>
        <w:jc w:val="center"/>
      </w:pPr>
      <w:r>
        <w:rPr>
          <w:rFonts w:ascii="Arial" w:hAnsi="Arial"/>
          <w:i/>
          <w:color w:val="5B6573"/>
          <w:sz w:val="16"/>
        </w:rPr>
        <w:t>Figure 3. Correlations are descriptive associations, not causal effects.</w:t>
      </w:r>
    </w:p>
    <w:p>
      <w:r>
        <w:br w:type="page"/>
      </w:r>
    </w:p>
    <w:p>
      <w:pPr>
        <w:spacing w:after="60"/>
      </w:pPr>
      <w:r>
        <w:rPr>
          <w:rFonts w:ascii="Arial" w:hAnsi="Arial"/>
          <w:b/>
          <w:color w:val="137C8B"/>
          <w:sz w:val="16"/>
        </w:rPr>
        <w:t>03  MODELING APPROACH</w:t>
      </w:r>
    </w:p>
    <w:p>
      <w:pPr>
        <w:pStyle w:val="Heading1"/>
      </w:pPr>
      <w:r>
        <w:t>Preprocessing and candidate models</w:t>
      </w:r>
    </w:p>
    <w:p>
      <w:pPr>
        <w:spacing w:after="160"/>
      </w:pPr>
      <w:r>
        <w:rPr>
          <w:i/>
          <w:color w:val="5B6573"/>
          <w:sz w:val="18"/>
        </w:rPr>
        <w:t>All transformations are fitted within the estimator pipeline so cross-validation evaluates the complete modeling procedure.</w:t>
      </w:r>
    </w:p>
    <w:p>
      <w:pPr>
        <w:spacing w:after="140" w:line="259" w:lineRule="auto"/>
      </w:pPr>
      <w:r>
        <w:t>A stratified 80/20 split with random_state=42 creates the training and holdout partitions. Model selection within the training partition uses shuffled, stratified five-fold cross-validation and ROC-AUC scoring. The preprocessing stages are embedded in a ColumnTransformer and then in each classifier Pipeline.</w:t>
      </w:r>
    </w:p>
    <w:tbl>
      <w:tblPr>
        <w:tblW w:type="auto" w:w="0"/>
        <w:jc w:val="center"/>
        <w:tblLayout w:type="fixed"/>
        <w:tblLook w:firstColumn="1" w:firstRow="1" w:lastColumn="0" w:lastRow="0" w:noHBand="0" w:noVBand="1" w:val="04A0"/>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Pr>
      <w:tblGrid>
        <w:gridCol w:w="3221"/>
        <w:gridCol w:w="3221"/>
        <w:gridCol w:w="3221"/>
      </w:tblGrid>
      <w:tr>
        <w:trPr>
          <w:tblHeader w:val="true"/>
        </w:trPr>
        <w:tc>
          <w:tcPr>
            <w:tcW w:type="dxa" w:w="1656"/>
            <w:vAlign w:val="center"/>
            <w:tcMar>
              <w:top w:w="100" w:type="dxa"/>
              <w:start w:w="110" w:type="dxa"/>
              <w:bottom w:w="100" w:type="dxa"/>
              <w:end w:w="110" w:type="dxa"/>
            </w:tcMar>
            <w:shd w:fill="183153"/>
          </w:tcPr>
          <w:p>
            <w:pPr>
              <w:spacing w:after="0" w:before="0" w:line="240" w:lineRule="auto"/>
            </w:pPr>
            <w:r>
              <w:rPr>
                <w:rFonts w:ascii="Arial" w:hAnsi="Arial"/>
                <w:b/>
                <w:color w:val="FFFFFF"/>
                <w:sz w:val="16"/>
              </w:rPr>
              <w:t>Feature group</w:t>
            </w:r>
          </w:p>
        </w:tc>
        <w:tc>
          <w:tcPr>
            <w:tcW w:type="dxa" w:w="2952"/>
            <w:vAlign w:val="center"/>
            <w:tcMar>
              <w:top w:w="100" w:type="dxa"/>
              <w:start w:w="110" w:type="dxa"/>
              <w:bottom w:w="100" w:type="dxa"/>
              <w:end w:w="110" w:type="dxa"/>
            </w:tcMar>
            <w:shd w:fill="183153"/>
          </w:tcPr>
          <w:p>
            <w:pPr>
              <w:spacing w:after="0" w:before="0" w:line="240" w:lineRule="auto"/>
              <w:jc w:val="center"/>
            </w:pPr>
            <w:r>
              <w:rPr>
                <w:rFonts w:ascii="Arial" w:hAnsi="Arial"/>
                <w:b/>
                <w:color w:val="FFFFFF"/>
                <w:sz w:val="16"/>
              </w:rPr>
              <w:t>Fields</w:t>
            </w:r>
          </w:p>
        </w:tc>
        <w:tc>
          <w:tcPr>
            <w:tcW w:type="dxa" w:w="4896"/>
            <w:vAlign w:val="center"/>
            <w:tcMar>
              <w:top w:w="100" w:type="dxa"/>
              <w:start w:w="110" w:type="dxa"/>
              <w:bottom w:w="100" w:type="dxa"/>
              <w:end w:w="110" w:type="dxa"/>
            </w:tcMar>
            <w:shd w:fill="183153"/>
          </w:tcPr>
          <w:p>
            <w:pPr>
              <w:spacing w:after="0" w:before="0" w:line="240" w:lineRule="auto"/>
              <w:jc w:val="center"/>
            </w:pPr>
            <w:r>
              <w:rPr>
                <w:rFonts w:ascii="Arial" w:hAnsi="Arial"/>
                <w:b/>
                <w:color w:val="FFFFFF"/>
                <w:sz w:val="16"/>
              </w:rPr>
              <w:t>Training-fold transformation</w:t>
            </w:r>
          </w:p>
        </w:tc>
      </w:tr>
      <w:tr>
        <w:trPr/>
        <w:tc>
          <w:tcPr>
            <w:tcW w:type="dxa" w:w="1656"/>
            <w:vAlign w:val="center"/>
            <w:tcMar>
              <w:top w:w="100" w:type="dxa"/>
              <w:start w:w="110" w:type="dxa"/>
              <w:bottom w:w="100" w:type="dxa"/>
              <w:end w:w="110" w:type="dxa"/>
            </w:tcMar>
          </w:tcPr>
          <w:p>
            <w:pPr>
              <w:spacing w:after="0" w:before="0" w:line="240" w:lineRule="auto"/>
            </w:pPr>
            <w:r>
              <w:rPr>
                <w:rFonts w:ascii="Arial" w:hAnsi="Arial"/>
                <w:sz w:val="16"/>
              </w:rPr>
              <w:t>Continuous</w:t>
            </w:r>
          </w:p>
        </w:tc>
        <w:tc>
          <w:tcPr>
            <w:tcW w:type="dxa" w:w="2952"/>
            <w:vAlign w:val="center"/>
            <w:tcMar>
              <w:top w:w="100" w:type="dxa"/>
              <w:start w:w="110" w:type="dxa"/>
              <w:bottom w:w="100" w:type="dxa"/>
              <w:end w:w="110" w:type="dxa"/>
            </w:tcMar>
          </w:tcPr>
          <w:p>
            <w:pPr>
              <w:spacing w:after="0" w:before="0" w:line="240" w:lineRule="auto"/>
              <w:jc w:val="center"/>
            </w:pPr>
            <w:r>
              <w:rPr>
                <w:rFonts w:ascii="Arial" w:hAnsi="Arial"/>
                <w:sz w:val="16"/>
              </w:rPr>
              <w:t>age, trestbps, chol, thalach, oldpeak, ca</w:t>
            </w:r>
          </w:p>
        </w:tc>
        <w:tc>
          <w:tcPr>
            <w:tcW w:type="dxa" w:w="4896"/>
            <w:vAlign w:val="center"/>
            <w:tcMar>
              <w:top w:w="100" w:type="dxa"/>
              <w:start w:w="110" w:type="dxa"/>
              <w:bottom w:w="100" w:type="dxa"/>
              <w:end w:w="110" w:type="dxa"/>
            </w:tcMar>
          </w:tcPr>
          <w:p>
            <w:pPr>
              <w:spacing w:after="0" w:before="0" w:line="240" w:lineRule="auto"/>
              <w:jc w:val="center"/>
            </w:pPr>
            <w:r>
              <w:rPr>
                <w:rFonts w:ascii="Arial" w:hAnsi="Arial"/>
                <w:sz w:val="16"/>
              </w:rPr>
              <w:t>Median imputation, then standard scaling</w:t>
            </w:r>
          </w:p>
        </w:tc>
      </w:tr>
      <w:tr>
        <w:trPr/>
        <w:tc>
          <w:tcPr>
            <w:tcW w:type="dxa" w:w="1656"/>
            <w:vAlign w:val="center"/>
            <w:tcMar>
              <w:top w:w="100" w:type="dxa"/>
              <w:start w:w="110" w:type="dxa"/>
              <w:bottom w:w="100" w:type="dxa"/>
              <w:end w:w="110" w:type="dxa"/>
            </w:tcMar>
            <w:shd w:fill="F7F9FB"/>
          </w:tcPr>
          <w:p>
            <w:pPr>
              <w:spacing w:after="0" w:before="0" w:line="240" w:lineRule="auto"/>
            </w:pPr>
            <w:r>
              <w:rPr>
                <w:rFonts w:ascii="Arial" w:hAnsi="Arial"/>
                <w:sz w:val="16"/>
              </w:rPr>
              <w:t>Categorical</w:t>
            </w:r>
          </w:p>
        </w:tc>
        <w:tc>
          <w:tcPr>
            <w:tcW w:type="dxa" w:w="2952"/>
            <w:vAlign w:val="center"/>
            <w:tcMar>
              <w:top w:w="100" w:type="dxa"/>
              <w:start w:w="110" w:type="dxa"/>
              <w:bottom w:w="100" w:type="dxa"/>
              <w:end w:w="110" w:type="dxa"/>
            </w:tcMar>
            <w:shd w:fill="F7F9FB"/>
          </w:tcPr>
          <w:p>
            <w:pPr>
              <w:spacing w:after="0" w:before="0" w:line="240" w:lineRule="auto"/>
              <w:jc w:val="center"/>
            </w:pPr>
            <w:r>
              <w:rPr>
                <w:rFonts w:ascii="Arial" w:hAnsi="Arial"/>
                <w:sz w:val="16"/>
              </w:rPr>
              <w:t>cp, restecg, slope, thal</w:t>
            </w:r>
          </w:p>
        </w:tc>
        <w:tc>
          <w:tcPr>
            <w:tcW w:type="dxa" w:w="4896"/>
            <w:vAlign w:val="center"/>
            <w:tcMar>
              <w:top w:w="100" w:type="dxa"/>
              <w:start w:w="110" w:type="dxa"/>
              <w:bottom w:w="100" w:type="dxa"/>
              <w:end w:w="110" w:type="dxa"/>
            </w:tcMar>
            <w:shd w:fill="F7F9FB"/>
          </w:tcPr>
          <w:p>
            <w:pPr>
              <w:spacing w:after="0" w:before="0" w:line="240" w:lineRule="auto"/>
              <w:jc w:val="center"/>
            </w:pPr>
            <w:r>
              <w:rPr>
                <w:rFonts w:ascii="Arial" w:hAnsi="Arial"/>
                <w:sz w:val="16"/>
              </w:rPr>
              <w:t>Most-frequent imputation, then one-hot encoding</w:t>
            </w:r>
          </w:p>
        </w:tc>
      </w:tr>
      <w:tr>
        <w:trPr/>
        <w:tc>
          <w:tcPr>
            <w:tcW w:type="dxa" w:w="1656"/>
            <w:vAlign w:val="center"/>
            <w:tcMar>
              <w:top w:w="100" w:type="dxa"/>
              <w:start w:w="110" w:type="dxa"/>
              <w:bottom w:w="100" w:type="dxa"/>
              <w:end w:w="110" w:type="dxa"/>
            </w:tcMar>
          </w:tcPr>
          <w:p>
            <w:pPr>
              <w:spacing w:after="0" w:before="0" w:line="240" w:lineRule="auto"/>
            </w:pPr>
            <w:r>
              <w:rPr>
                <w:rFonts w:ascii="Arial" w:hAnsi="Arial"/>
                <w:sz w:val="16"/>
              </w:rPr>
              <w:t>Binary</w:t>
            </w:r>
          </w:p>
        </w:tc>
        <w:tc>
          <w:tcPr>
            <w:tcW w:type="dxa" w:w="2952"/>
            <w:vAlign w:val="center"/>
            <w:tcMar>
              <w:top w:w="100" w:type="dxa"/>
              <w:start w:w="110" w:type="dxa"/>
              <w:bottom w:w="100" w:type="dxa"/>
              <w:end w:w="110" w:type="dxa"/>
            </w:tcMar>
          </w:tcPr>
          <w:p>
            <w:pPr>
              <w:spacing w:after="0" w:before="0" w:line="240" w:lineRule="auto"/>
              <w:jc w:val="center"/>
            </w:pPr>
            <w:r>
              <w:rPr>
                <w:rFonts w:ascii="Arial" w:hAnsi="Arial"/>
                <w:sz w:val="16"/>
              </w:rPr>
              <w:t>sex, fbs, exang</w:t>
            </w:r>
          </w:p>
        </w:tc>
        <w:tc>
          <w:tcPr>
            <w:tcW w:type="dxa" w:w="4896"/>
            <w:vAlign w:val="center"/>
            <w:tcMar>
              <w:top w:w="100" w:type="dxa"/>
              <w:start w:w="110" w:type="dxa"/>
              <w:bottom w:w="100" w:type="dxa"/>
              <w:end w:w="110" w:type="dxa"/>
            </w:tcMar>
          </w:tcPr>
          <w:p>
            <w:pPr>
              <w:spacing w:after="0" w:before="0" w:line="240" w:lineRule="auto"/>
              <w:jc w:val="center"/>
            </w:pPr>
            <w:r>
              <w:rPr>
                <w:rFonts w:ascii="Arial" w:hAnsi="Arial"/>
                <w:sz w:val="16"/>
              </w:rPr>
              <w:t>Most-frequent imputation; retain 0/1 values</w:t>
            </w:r>
          </w:p>
        </w:tc>
      </w:tr>
    </w:tbl>
    <w:p>
      <w:pPr>
        <w:pStyle w:val="Heading2"/>
      </w:pPr>
      <w:r>
        <w:t>Search strategy</w:t>
      </w:r>
    </w:p>
    <w:p>
      <w:pPr>
        <w:pStyle w:val="ListBullet"/>
        <w:ind w:left="317" w:hanging="202"/>
      </w:pPr>
      <w:r>
        <w:t>Logistic Regression uses class_weight="balanced" and max_iter=2000; the search covers C = 0.01, 0.1, 1, 5, 10 and solvers lbfgs and liblinear.</w:t>
      </w:r>
    </w:p>
    <w:p>
      <w:pPr>
        <w:pStyle w:val="ListBullet"/>
        <w:ind w:left="317" w:hanging="202"/>
      </w:pPr>
      <w:r>
        <w:t>Random Forest uses class_weight="balanced"; the search covers 100, 200 or 300 trees, four max_depth choices, two min_samples_split values and three min_samples_leaf values.</w:t>
      </w:r>
    </w:p>
    <w:p>
      <w:pPr>
        <w:pStyle w:val="ListBullet"/>
        <w:ind w:left="317" w:hanging="202"/>
      </w:pPr>
      <w:r>
        <w:t>The best configuration for each estimator is refit on the full training partition. The holdout partition has 61 records and is used for the recorded evaluation metrics and plots.</w:t>
      </w:r>
    </w:p>
    <w:p>
      <w:pPr>
        <w:spacing w:after="80" w:line="259" w:lineRule="auto"/>
      </w:pPr>
      <w:r>
        <w:t>The pipeline is serialized as artifacts/heart_risk_pipeline.joblib. Keeping preprocessing with the estimator lets the API accept the original 13 feature fields without reproducing transformations in serving code.</w:t>
      </w:r>
    </w:p>
    <w:p>
      <w:pPr>
        <w:keepLines/>
        <w:spacing w:before="20" w:after="40"/>
        <w:jc w:val="center"/>
      </w:pPr>
      <w:r>
        <w:drawing>
          <wp:inline xmlns:a="http://schemas.openxmlformats.org/drawingml/2006/main" xmlns:pic="http://schemas.openxmlformats.org/drawingml/2006/picture">
            <wp:extent cx="5303520" cy="3788229"/>
            <wp:docPr id="4" name="Picture 4" descr="Categorical clinical feature distributions stratified by the target class." title="Categorical clinical feature distributions stratified by the target class."/>
            <wp:cNvGraphicFramePr>
              <a:graphicFrameLocks noChangeAspect="1"/>
            </wp:cNvGraphicFramePr>
            <a:graphic>
              <a:graphicData uri="http://schemas.openxmlformats.org/drawingml/2006/picture">
                <pic:pic>
                  <pic:nvPicPr>
                    <pic:cNvPr id="0" name="clinical_features_distribution.png"/>
                    <pic:cNvPicPr/>
                  </pic:nvPicPr>
                  <pic:blipFill>
                    <a:blip r:embed="rId14"/>
                    <a:stretch>
                      <a:fillRect/>
                    </a:stretch>
                  </pic:blipFill>
                  <pic:spPr>
                    <a:xfrm>
                      <a:off x="0" y="0"/>
                      <a:ext cx="5303520" cy="3788229"/>
                    </a:xfrm>
                    <a:prstGeom prst="rect"/>
                  </pic:spPr>
                </pic:pic>
              </a:graphicData>
            </a:graphic>
          </wp:inline>
        </w:drawing>
      </w:r>
    </w:p>
    <w:p>
      <w:pPr>
        <w:keepNext w:val="0"/>
        <w:spacing w:before="0" w:after="140"/>
        <w:jc w:val="center"/>
      </w:pPr>
      <w:r>
        <w:rPr>
          <w:rFonts w:ascii="Arial" w:hAnsi="Arial"/>
          <w:i/>
          <w:color w:val="5B6573"/>
          <w:sz w:val="16"/>
        </w:rPr>
        <w:t>Figure 4. Selected categorical feature distributions by target class; category codes are treated as nominal inputs.</w:t>
      </w:r>
    </w:p>
    <w:p>
      <w:r>
        <w:br w:type="page"/>
      </w:r>
    </w:p>
    <w:p>
      <w:pPr>
        <w:spacing w:after="60"/>
      </w:pPr>
      <w:r>
        <w:rPr>
          <w:rFonts w:ascii="Arial" w:hAnsi="Arial"/>
          <w:b/>
          <w:color w:val="137C8B"/>
          <w:sz w:val="16"/>
        </w:rPr>
        <w:t>04  EVALUATION</w:t>
      </w:r>
    </w:p>
    <w:p>
      <w:pPr>
        <w:pStyle w:val="Heading1"/>
      </w:pPr>
      <w:r>
        <w:t>Holdout performance and model selection</w:t>
      </w:r>
    </w:p>
    <w:p>
      <w:pPr>
        <w:spacing w:after="160"/>
      </w:pPr>
      <w:r>
        <w:rPr>
          <w:i/>
          <w:color w:val="5B6573"/>
          <w:sz w:val="18"/>
        </w:rPr>
        <w:t>Metrics below are from the refreshed artifacts/metrics.json and the 61-record holdout partition.</w:t>
      </w:r>
    </w:p>
    <w:tbl>
      <w:tblPr>
        <w:tblW w:type="auto" w:w="0"/>
        <w:jc w:val="center"/>
        <w:tblLayout w:type="fixed"/>
        <w:tblLook w:firstColumn="1" w:firstRow="1" w:lastColumn="0" w:lastRow="0" w:noHBand="0" w:noVBand="1" w:val="04A0"/>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Pr>
      <w:tblGrid>
        <w:gridCol w:w="1380"/>
        <w:gridCol w:w="1380"/>
        <w:gridCol w:w="1380"/>
        <w:gridCol w:w="1380"/>
        <w:gridCol w:w="1380"/>
        <w:gridCol w:w="1380"/>
        <w:gridCol w:w="1380"/>
      </w:tblGrid>
      <w:tr>
        <w:trPr>
          <w:tblHeader w:val="true"/>
        </w:trPr>
        <w:tc>
          <w:tcPr>
            <w:tcW w:type="dxa" w:w="2117"/>
            <w:vAlign w:val="center"/>
            <w:tcMar>
              <w:top w:w="100" w:type="dxa"/>
              <w:start w:w="110" w:type="dxa"/>
              <w:bottom w:w="100" w:type="dxa"/>
              <w:end w:w="110" w:type="dxa"/>
            </w:tcMar>
            <w:shd w:fill="183153"/>
          </w:tcPr>
          <w:p>
            <w:pPr>
              <w:spacing w:after="0" w:before="0" w:line="240" w:lineRule="auto"/>
            </w:pPr>
            <w:r>
              <w:rPr>
                <w:rFonts w:ascii="Arial" w:hAnsi="Arial"/>
                <w:b/>
                <w:color w:val="FFFFFF"/>
                <w:sz w:val="15"/>
              </w:rPr>
              <w:t>Model</w:t>
            </w:r>
          </w:p>
        </w:tc>
        <w:tc>
          <w:tcPr>
            <w:tcW w:type="dxa" w:w="1138"/>
            <w:vAlign w:val="center"/>
            <w:tcMar>
              <w:top w:w="100" w:type="dxa"/>
              <w:start w:w="110" w:type="dxa"/>
              <w:bottom w:w="100" w:type="dxa"/>
              <w:end w:w="110" w:type="dxa"/>
            </w:tcMar>
            <w:shd w:fill="183153"/>
          </w:tcPr>
          <w:p>
            <w:pPr>
              <w:spacing w:after="0" w:before="0" w:line="240" w:lineRule="auto"/>
              <w:jc w:val="center"/>
            </w:pPr>
            <w:r>
              <w:rPr>
                <w:rFonts w:ascii="Arial" w:hAnsi="Arial"/>
                <w:b/>
                <w:color w:val="FFFFFF"/>
                <w:sz w:val="15"/>
              </w:rPr>
              <w:t>CV AUC</w:t>
            </w:r>
          </w:p>
        </w:tc>
        <w:tc>
          <w:tcPr>
            <w:tcW w:type="dxa" w:w="1181"/>
            <w:vAlign w:val="center"/>
            <w:tcMar>
              <w:top w:w="100" w:type="dxa"/>
              <w:start w:w="110" w:type="dxa"/>
              <w:bottom w:w="100" w:type="dxa"/>
              <w:end w:w="110" w:type="dxa"/>
            </w:tcMar>
            <w:shd w:fill="183153"/>
          </w:tcPr>
          <w:p>
            <w:pPr>
              <w:spacing w:after="0" w:before="0" w:line="240" w:lineRule="auto"/>
              <w:jc w:val="center"/>
            </w:pPr>
            <w:r>
              <w:rPr>
                <w:rFonts w:ascii="Arial" w:hAnsi="Arial"/>
                <w:b/>
                <w:color w:val="FFFFFF"/>
                <w:sz w:val="15"/>
              </w:rPr>
              <w:t>Accuracy</w:t>
            </w:r>
          </w:p>
        </w:tc>
        <w:tc>
          <w:tcPr>
            <w:tcW w:type="dxa" w:w="1181"/>
            <w:vAlign w:val="center"/>
            <w:tcMar>
              <w:top w:w="100" w:type="dxa"/>
              <w:start w:w="110" w:type="dxa"/>
              <w:bottom w:w="100" w:type="dxa"/>
              <w:end w:w="110" w:type="dxa"/>
            </w:tcMar>
            <w:shd w:fill="183153"/>
          </w:tcPr>
          <w:p>
            <w:pPr>
              <w:spacing w:after="0" w:before="0" w:line="240" w:lineRule="auto"/>
              <w:jc w:val="center"/>
            </w:pPr>
            <w:r>
              <w:rPr>
                <w:rFonts w:ascii="Arial" w:hAnsi="Arial"/>
                <w:b/>
                <w:color w:val="FFFFFF"/>
                <w:sz w:val="15"/>
              </w:rPr>
              <w:t>Precision</w:t>
            </w:r>
          </w:p>
        </w:tc>
        <w:tc>
          <w:tcPr>
            <w:tcW w:type="dxa" w:w="1066"/>
            <w:vAlign w:val="center"/>
            <w:tcMar>
              <w:top w:w="100" w:type="dxa"/>
              <w:start w:w="110" w:type="dxa"/>
              <w:bottom w:w="100" w:type="dxa"/>
              <w:end w:w="110" w:type="dxa"/>
            </w:tcMar>
            <w:shd w:fill="183153"/>
          </w:tcPr>
          <w:p>
            <w:pPr>
              <w:spacing w:after="0" w:before="0" w:line="240" w:lineRule="auto"/>
              <w:jc w:val="center"/>
            </w:pPr>
            <w:r>
              <w:rPr>
                <w:rFonts w:ascii="Arial" w:hAnsi="Arial"/>
                <w:b/>
                <w:color w:val="FFFFFF"/>
                <w:sz w:val="15"/>
              </w:rPr>
              <w:t>Recall</w:t>
            </w:r>
          </w:p>
        </w:tc>
        <w:tc>
          <w:tcPr>
            <w:tcW w:type="dxa" w:w="950"/>
            <w:vAlign w:val="center"/>
            <w:tcMar>
              <w:top w:w="100" w:type="dxa"/>
              <w:start w:w="110" w:type="dxa"/>
              <w:bottom w:w="100" w:type="dxa"/>
              <w:end w:w="110" w:type="dxa"/>
            </w:tcMar>
            <w:shd w:fill="183153"/>
          </w:tcPr>
          <w:p>
            <w:pPr>
              <w:spacing w:after="0" w:before="0" w:line="240" w:lineRule="auto"/>
              <w:jc w:val="center"/>
            </w:pPr>
            <w:r>
              <w:rPr>
                <w:rFonts w:ascii="Arial" w:hAnsi="Arial"/>
                <w:b/>
                <w:color w:val="FFFFFF"/>
                <w:sz w:val="15"/>
              </w:rPr>
              <w:t>F1</w:t>
            </w:r>
          </w:p>
        </w:tc>
        <w:tc>
          <w:tcPr>
            <w:tcW w:type="dxa" w:w="1512"/>
            <w:vAlign w:val="center"/>
            <w:tcMar>
              <w:top w:w="100" w:type="dxa"/>
              <w:start w:w="110" w:type="dxa"/>
              <w:bottom w:w="100" w:type="dxa"/>
              <w:end w:w="110" w:type="dxa"/>
            </w:tcMar>
            <w:shd w:fill="183153"/>
          </w:tcPr>
          <w:p>
            <w:pPr>
              <w:spacing w:after="0" w:before="0" w:line="240" w:lineRule="auto"/>
              <w:jc w:val="center"/>
            </w:pPr>
            <w:r>
              <w:rPr>
                <w:rFonts w:ascii="Arial" w:hAnsi="Arial"/>
                <w:b/>
                <w:color w:val="FFFFFF"/>
                <w:sz w:val="15"/>
              </w:rPr>
              <w:t>Holdout AUC</w:t>
            </w:r>
          </w:p>
        </w:tc>
      </w:tr>
      <w:tr>
        <w:trPr/>
        <w:tc>
          <w:tcPr>
            <w:tcW w:type="dxa" w:w="2117"/>
            <w:vAlign w:val="center"/>
            <w:tcMar>
              <w:top w:w="100" w:type="dxa"/>
              <w:start w:w="110" w:type="dxa"/>
              <w:bottom w:w="100" w:type="dxa"/>
              <w:end w:w="110" w:type="dxa"/>
            </w:tcMar>
          </w:tcPr>
          <w:p>
            <w:pPr>
              <w:spacing w:after="0" w:before="0" w:line="240" w:lineRule="auto"/>
            </w:pPr>
            <w:r>
              <w:rPr>
                <w:rFonts w:ascii="Arial" w:hAnsi="Arial"/>
                <w:sz w:val="15"/>
              </w:rPr>
              <w:t>Logistic Regression</w:t>
            </w:r>
          </w:p>
        </w:tc>
        <w:tc>
          <w:tcPr>
            <w:tcW w:type="dxa" w:w="1138"/>
            <w:vAlign w:val="center"/>
            <w:tcMar>
              <w:top w:w="100" w:type="dxa"/>
              <w:start w:w="110" w:type="dxa"/>
              <w:bottom w:w="100" w:type="dxa"/>
              <w:end w:w="110" w:type="dxa"/>
            </w:tcMar>
          </w:tcPr>
          <w:p>
            <w:pPr>
              <w:spacing w:after="0" w:before="0" w:line="240" w:lineRule="auto"/>
              <w:jc w:val="center"/>
            </w:pPr>
            <w:r>
              <w:rPr>
                <w:rFonts w:ascii="Arial" w:hAnsi="Arial"/>
                <w:sz w:val="15"/>
              </w:rPr>
              <w:t>0.9082</w:t>
            </w:r>
          </w:p>
        </w:tc>
        <w:tc>
          <w:tcPr>
            <w:tcW w:type="dxa" w:w="1181"/>
            <w:vAlign w:val="center"/>
            <w:tcMar>
              <w:top w:w="100" w:type="dxa"/>
              <w:start w:w="110" w:type="dxa"/>
              <w:bottom w:w="100" w:type="dxa"/>
              <w:end w:w="110" w:type="dxa"/>
            </w:tcMar>
          </w:tcPr>
          <w:p>
            <w:pPr>
              <w:spacing w:after="0" w:before="0" w:line="240" w:lineRule="auto"/>
              <w:jc w:val="center"/>
            </w:pPr>
            <w:r>
              <w:rPr>
                <w:rFonts w:ascii="Arial" w:hAnsi="Arial"/>
                <w:sz w:val="15"/>
              </w:rPr>
              <w:t>86.89%</w:t>
            </w:r>
          </w:p>
        </w:tc>
        <w:tc>
          <w:tcPr>
            <w:tcW w:type="dxa" w:w="1181"/>
            <w:vAlign w:val="center"/>
            <w:tcMar>
              <w:top w:w="100" w:type="dxa"/>
              <w:start w:w="110" w:type="dxa"/>
              <w:bottom w:w="100" w:type="dxa"/>
              <w:end w:w="110" w:type="dxa"/>
            </w:tcMar>
          </w:tcPr>
          <w:p>
            <w:pPr>
              <w:spacing w:after="0" w:before="0" w:line="240" w:lineRule="auto"/>
              <w:jc w:val="center"/>
            </w:pPr>
            <w:r>
              <w:rPr>
                <w:rFonts w:ascii="Arial" w:hAnsi="Arial"/>
                <w:sz w:val="15"/>
              </w:rPr>
              <w:t>81.25%</w:t>
            </w:r>
          </w:p>
        </w:tc>
        <w:tc>
          <w:tcPr>
            <w:tcW w:type="dxa" w:w="1066"/>
            <w:vAlign w:val="center"/>
            <w:tcMar>
              <w:top w:w="100" w:type="dxa"/>
              <w:start w:w="110" w:type="dxa"/>
              <w:bottom w:w="100" w:type="dxa"/>
              <w:end w:w="110" w:type="dxa"/>
            </w:tcMar>
          </w:tcPr>
          <w:p>
            <w:pPr>
              <w:spacing w:after="0" w:before="0" w:line="240" w:lineRule="auto"/>
              <w:jc w:val="center"/>
            </w:pPr>
            <w:r>
              <w:rPr>
                <w:rFonts w:ascii="Arial" w:hAnsi="Arial"/>
                <w:sz w:val="15"/>
              </w:rPr>
              <w:t>92.86%</w:t>
            </w:r>
          </w:p>
        </w:tc>
        <w:tc>
          <w:tcPr>
            <w:tcW w:type="dxa" w:w="950"/>
            <w:vAlign w:val="center"/>
            <w:tcMar>
              <w:top w:w="100" w:type="dxa"/>
              <w:start w:w="110" w:type="dxa"/>
              <w:bottom w:w="100" w:type="dxa"/>
              <w:end w:w="110" w:type="dxa"/>
            </w:tcMar>
          </w:tcPr>
          <w:p>
            <w:pPr>
              <w:spacing w:after="0" w:before="0" w:line="240" w:lineRule="auto"/>
              <w:jc w:val="center"/>
            </w:pPr>
            <w:r>
              <w:rPr>
                <w:rFonts w:ascii="Arial" w:hAnsi="Arial"/>
                <w:sz w:val="15"/>
              </w:rPr>
              <w:t>86.67%</w:t>
            </w:r>
          </w:p>
        </w:tc>
        <w:tc>
          <w:tcPr>
            <w:tcW w:type="dxa" w:w="1512"/>
            <w:vAlign w:val="center"/>
            <w:tcMar>
              <w:top w:w="100" w:type="dxa"/>
              <w:start w:w="110" w:type="dxa"/>
              <w:bottom w:w="100" w:type="dxa"/>
              <w:end w:w="110" w:type="dxa"/>
            </w:tcMar>
          </w:tcPr>
          <w:p>
            <w:pPr>
              <w:spacing w:after="0" w:before="0" w:line="240" w:lineRule="auto"/>
              <w:jc w:val="center"/>
            </w:pPr>
            <w:r>
              <w:rPr>
                <w:rFonts w:ascii="Arial" w:hAnsi="Arial"/>
                <w:sz w:val="15"/>
              </w:rPr>
              <w:t>0.9578</w:t>
            </w:r>
          </w:p>
        </w:tc>
      </w:tr>
      <w:tr>
        <w:trPr/>
        <w:tc>
          <w:tcPr>
            <w:tcW w:type="dxa" w:w="2117"/>
            <w:vAlign w:val="center"/>
            <w:tcMar>
              <w:top w:w="100" w:type="dxa"/>
              <w:start w:w="110" w:type="dxa"/>
              <w:bottom w:w="100" w:type="dxa"/>
              <w:end w:w="110" w:type="dxa"/>
            </w:tcMar>
            <w:shd w:fill="F7F9FB"/>
          </w:tcPr>
          <w:p>
            <w:pPr>
              <w:spacing w:after="0" w:before="0" w:line="240" w:lineRule="auto"/>
            </w:pPr>
            <w:r>
              <w:rPr>
                <w:rFonts w:ascii="Arial" w:hAnsi="Arial"/>
                <w:sz w:val="15"/>
              </w:rPr>
              <w:t>Random Forest</w:t>
            </w:r>
          </w:p>
        </w:tc>
        <w:tc>
          <w:tcPr>
            <w:tcW w:type="dxa" w:w="1138"/>
            <w:vAlign w:val="center"/>
            <w:tcMar>
              <w:top w:w="100" w:type="dxa"/>
              <w:start w:w="110" w:type="dxa"/>
              <w:bottom w:w="100" w:type="dxa"/>
              <w:end w:w="110" w:type="dxa"/>
            </w:tcMar>
            <w:shd w:fill="F7F9FB"/>
          </w:tcPr>
          <w:p>
            <w:pPr>
              <w:spacing w:after="0" w:before="0" w:line="240" w:lineRule="auto"/>
              <w:jc w:val="center"/>
            </w:pPr>
            <w:r>
              <w:rPr>
                <w:rFonts w:ascii="Arial" w:hAnsi="Arial"/>
                <w:sz w:val="15"/>
              </w:rPr>
              <w:t>0.9003</w:t>
            </w:r>
          </w:p>
        </w:tc>
        <w:tc>
          <w:tcPr>
            <w:tcW w:type="dxa" w:w="1181"/>
            <w:vAlign w:val="center"/>
            <w:tcMar>
              <w:top w:w="100" w:type="dxa"/>
              <w:start w:w="110" w:type="dxa"/>
              <w:bottom w:w="100" w:type="dxa"/>
              <w:end w:w="110" w:type="dxa"/>
            </w:tcMar>
            <w:shd w:fill="F7F9FB"/>
          </w:tcPr>
          <w:p>
            <w:pPr>
              <w:spacing w:after="0" w:before="0" w:line="240" w:lineRule="auto"/>
              <w:jc w:val="center"/>
            </w:pPr>
            <w:r>
              <w:rPr>
                <w:rFonts w:ascii="Arial" w:hAnsi="Arial"/>
                <w:sz w:val="15"/>
              </w:rPr>
              <w:t>90.16%</w:t>
            </w:r>
          </w:p>
        </w:tc>
        <w:tc>
          <w:tcPr>
            <w:tcW w:type="dxa" w:w="1181"/>
            <w:vAlign w:val="center"/>
            <w:tcMar>
              <w:top w:w="100" w:type="dxa"/>
              <w:start w:w="110" w:type="dxa"/>
              <w:bottom w:w="100" w:type="dxa"/>
              <w:end w:w="110" w:type="dxa"/>
            </w:tcMar>
            <w:shd w:fill="F7F9FB"/>
          </w:tcPr>
          <w:p>
            <w:pPr>
              <w:spacing w:after="0" w:before="0" w:line="240" w:lineRule="auto"/>
              <w:jc w:val="center"/>
            </w:pPr>
            <w:r>
              <w:rPr>
                <w:rFonts w:ascii="Arial" w:hAnsi="Arial"/>
                <w:sz w:val="15"/>
              </w:rPr>
              <w:t>84.38%</w:t>
            </w:r>
          </w:p>
        </w:tc>
        <w:tc>
          <w:tcPr>
            <w:tcW w:type="dxa" w:w="1066"/>
            <w:vAlign w:val="center"/>
            <w:tcMar>
              <w:top w:w="100" w:type="dxa"/>
              <w:start w:w="110" w:type="dxa"/>
              <w:bottom w:w="100" w:type="dxa"/>
              <w:end w:w="110" w:type="dxa"/>
            </w:tcMar>
            <w:shd w:fill="F7F9FB"/>
          </w:tcPr>
          <w:p>
            <w:pPr>
              <w:spacing w:after="0" w:before="0" w:line="240" w:lineRule="auto"/>
              <w:jc w:val="center"/>
            </w:pPr>
            <w:r>
              <w:rPr>
                <w:rFonts w:ascii="Arial" w:hAnsi="Arial"/>
                <w:sz w:val="15"/>
              </w:rPr>
              <w:t>96.43%</w:t>
            </w:r>
          </w:p>
        </w:tc>
        <w:tc>
          <w:tcPr>
            <w:tcW w:type="dxa" w:w="950"/>
            <w:vAlign w:val="center"/>
            <w:tcMar>
              <w:top w:w="100" w:type="dxa"/>
              <w:start w:w="110" w:type="dxa"/>
              <w:bottom w:w="100" w:type="dxa"/>
              <w:end w:w="110" w:type="dxa"/>
            </w:tcMar>
            <w:shd w:fill="F7F9FB"/>
          </w:tcPr>
          <w:p>
            <w:pPr>
              <w:spacing w:after="0" w:before="0" w:line="240" w:lineRule="auto"/>
              <w:jc w:val="center"/>
            </w:pPr>
            <w:r>
              <w:rPr>
                <w:rFonts w:ascii="Arial" w:hAnsi="Arial"/>
                <w:sz w:val="15"/>
              </w:rPr>
              <w:t>90.00%</w:t>
            </w:r>
          </w:p>
        </w:tc>
        <w:tc>
          <w:tcPr>
            <w:tcW w:type="dxa" w:w="1512"/>
            <w:vAlign w:val="center"/>
            <w:tcMar>
              <w:top w:w="100" w:type="dxa"/>
              <w:start w:w="110" w:type="dxa"/>
              <w:bottom w:w="100" w:type="dxa"/>
              <w:end w:w="110" w:type="dxa"/>
            </w:tcMar>
            <w:shd w:fill="F7F9FB"/>
          </w:tcPr>
          <w:p>
            <w:pPr>
              <w:spacing w:after="0" w:before="0" w:line="240" w:lineRule="auto"/>
              <w:jc w:val="center"/>
            </w:pPr>
            <w:r>
              <w:rPr>
                <w:rFonts w:ascii="Arial" w:hAnsi="Arial"/>
                <w:sz w:val="15"/>
              </w:rPr>
              <w:t>0.9535</w:t>
            </w:r>
          </w:p>
        </w:tc>
      </w:tr>
    </w:tbl>
    <w:p>
      <w:pPr>
        <w:spacing w:after="80" w:line="259" w:lineRule="auto"/>
      </w:pPr>
      <w:r>
        <w:t>Logistic Regression is the stored model because the training script selects the candidate with the higher holdout ROC-AUC. Random Forest led on accuracy, precision, recall and F1 in this run. Both models performed strongly on this split, but the differences are small and should not be treated as evidence of clinical utility.</w:t>
      </w:r>
    </w:p>
    <w:p>
      <w:pPr>
        <w:keepLines/>
        <w:spacing w:before="20" w:after="40"/>
        <w:jc w:val="center"/>
      </w:pPr>
      <w:r>
        <w:drawing>
          <wp:inline xmlns:a="http://schemas.openxmlformats.org/drawingml/2006/main" xmlns:pic="http://schemas.openxmlformats.org/drawingml/2006/picture">
            <wp:extent cx="5715000" cy="2381250"/>
            <wp:docPr id="5" name="Picture 5" descr="ROC and precision-recall curves comparing Logistic Regression and Random Forest on the holdout split." title="ROC and precision-recall curves comparing Logistic Regression and Random Forest on the holdout split."/>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715000" cy="2381250"/>
                    </a:xfrm>
                    <a:prstGeom prst="rect"/>
                  </pic:spPr>
                </pic:pic>
              </a:graphicData>
            </a:graphic>
          </wp:inline>
        </w:drawing>
      </w:r>
    </w:p>
    <w:p>
      <w:pPr>
        <w:keepNext w:val="0"/>
        <w:spacing w:before="0" w:after="140"/>
        <w:jc w:val="center"/>
      </w:pPr>
      <w:r>
        <w:rPr>
          <w:rFonts w:ascii="Arial" w:hAnsi="Arial"/>
          <w:i/>
          <w:color w:val="5B6573"/>
          <w:sz w:val="16"/>
        </w:rPr>
        <w:t>Figure 5. Holdout ROC and precision-recall curves for both models.</w:t>
      </w:r>
    </w:p>
    <w:p>
      <w:pPr>
        <w:keepLines/>
        <w:spacing w:before="20" w:after="40"/>
        <w:jc w:val="center"/>
      </w:pPr>
      <w:r>
        <w:drawing>
          <wp:inline xmlns:a="http://schemas.openxmlformats.org/drawingml/2006/main" xmlns:pic="http://schemas.openxmlformats.org/drawingml/2006/picture">
            <wp:extent cx="2834640" cy="2362200"/>
            <wp:docPr id="6" name="Picture 6" descr="Logistic Regression confusion matrix: true absence 27 correct and 6 false positives; true presence 26 correct and 2 false negatives." title="Logistic Regression confusion matrix: true absence 27 correct and 6 false positives; true presence 26 correct and 2 false negatives."/>
            <wp:cNvGraphicFramePr>
              <a:graphicFrameLocks noChangeAspect="1"/>
            </wp:cNvGraphicFramePr>
            <a:graphic>
              <a:graphicData uri="http://schemas.openxmlformats.org/drawingml/2006/picture">
                <pic:pic>
                  <pic:nvPicPr>
                    <pic:cNvPr id="0" name="confusion_matrix_logistic_regression.png"/>
                    <pic:cNvPicPr/>
                  </pic:nvPicPr>
                  <pic:blipFill>
                    <a:blip r:embed="rId16"/>
                    <a:stretch>
                      <a:fillRect/>
                    </a:stretch>
                  </pic:blipFill>
                  <pic:spPr>
                    <a:xfrm>
                      <a:off x="0" y="0"/>
                      <a:ext cx="2834640" cy="2362200"/>
                    </a:xfrm>
                    <a:prstGeom prst="rect"/>
                  </pic:spPr>
                </pic:pic>
              </a:graphicData>
            </a:graphic>
          </wp:inline>
        </w:drawing>
      </w:r>
    </w:p>
    <w:p>
      <w:pPr>
        <w:keepNext w:val="0"/>
        <w:spacing w:before="0" w:after="140"/>
        <w:jc w:val="center"/>
      </w:pPr>
      <w:r>
        <w:rPr>
          <w:rFonts w:ascii="Arial" w:hAnsi="Arial"/>
          <w:i/>
          <w:color w:val="5B6573"/>
          <w:sz w:val="16"/>
        </w:rPr>
        <w:t>Figure 6. Logistic Regression confusion matrix: 27 true negatives, 6 false positives, 2 false negatives and 26 true positives.</w:t>
      </w:r>
    </w:p>
    <w:p>
      <w:pPr>
        <w:spacing w:after="0" w:line="259" w:lineRule="auto"/>
      </w:pPr>
      <w:r>
        <w:rPr>
          <w:b/>
          <w:sz w:val="16"/>
        </w:rPr>
        <w:t>Evaluation caveat:</w:t>
      </w:r>
      <w:r>
        <w:rPr>
          <w:sz w:val="16"/>
        </w:rPr>
        <w:t xml:space="preserve"> the same holdout AUC is used to choose the final model. This makes the reported winning holdout score selection-biased; it is not a fully independent final estimate. A stronger follow-up would use nested cross-validation or retain a separate untouched test set after model selection.</w:t>
      </w:r>
    </w:p>
    <w:p>
      <w:r>
        <w:br w:type="page"/>
      </w:r>
    </w:p>
    <w:p>
      <w:pPr>
        <w:spacing w:after="60"/>
      </w:pPr>
      <w:r>
        <w:rPr>
          <w:rFonts w:ascii="Arial" w:hAnsi="Arial"/>
          <w:b/>
          <w:color w:val="137C8B"/>
          <w:sz w:val="16"/>
        </w:rPr>
        <w:t>05  EXPERIMENT TRACKING</w:t>
      </w:r>
    </w:p>
    <w:p>
      <w:pPr>
        <w:pStyle w:val="Heading1"/>
      </w:pPr>
      <w:r>
        <w:t>MLflow comparison and logged runs</w:t>
      </w:r>
    </w:p>
    <w:p>
      <w:pPr>
        <w:spacing w:after="160"/>
      </w:pPr>
      <w:r>
        <w:rPr>
          <w:i/>
          <w:color w:val="5B6573"/>
          <w:sz w:val="18"/>
        </w:rPr>
        <w:t>The heart-risk-production experiment contains separate Logistic Regression and Random Forest runs.</w:t>
      </w:r>
    </w:p>
    <w:p>
      <w:pPr>
        <w:spacing w:after="80" w:line="259" w:lineRule="auto"/>
      </w:pPr>
      <w:r>
        <w:t>The runs record the estimator type, selected hyperparameters, cross-validation ROC-AUC and holdout accuracy, precision, recall, F1 and ROC-AUC. Training also logs confusion matrices, ROC and precision-recall plots, feature coefficient/importances, classification-report text and the fitted scikit-learn model. The comparison views below provide run-level evidence from the Prayogshala session.</w:t>
      </w:r>
    </w:p>
    <w:p>
      <w:pPr>
        <w:keepLines/>
        <w:spacing w:before="20" w:after="40"/>
        <w:jc w:val="center"/>
      </w:pPr>
      <w:r>
        <w:drawing>
          <wp:inline xmlns:a="http://schemas.openxmlformats.org/drawingml/2006/main" xmlns:pic="http://schemas.openxmlformats.org/drawingml/2006/picture">
            <wp:extent cx="5897880" cy="3256073"/>
            <wp:docPr id="7" name="Picture 7" descr="Prayogshala screenshot showing the MLflow comparison visualization view for two runs." title="Prayogshala screenshot showing the MLflow comparison visualization view for two runs."/>
            <wp:cNvGraphicFramePr>
              <a:graphicFrameLocks noChangeAspect="1"/>
            </wp:cNvGraphicFramePr>
            <a:graphic>
              <a:graphicData uri="http://schemas.openxmlformats.org/drawingml/2006/picture">
                <pic:pic>
                  <pic:nvPicPr>
                    <pic:cNvPr id="0" name="mlflow_compare_action.png"/>
                    <pic:cNvPicPr/>
                  </pic:nvPicPr>
                  <pic:blipFill>
                    <a:blip r:embed="rId17"/>
                    <a:stretch>
                      <a:fillRect/>
                    </a:stretch>
                  </pic:blipFill>
                  <pic:spPr>
                    <a:xfrm>
                      <a:off x="0" y="0"/>
                      <a:ext cx="5897880" cy="3256073"/>
                    </a:xfrm>
                    <a:prstGeom prst="rect"/>
                  </pic:spPr>
                </pic:pic>
              </a:graphicData>
            </a:graphic>
          </wp:inline>
        </w:drawing>
      </w:r>
    </w:p>
    <w:p>
      <w:pPr>
        <w:keepNext w:val="0"/>
        <w:spacing w:before="0" w:after="140"/>
        <w:jc w:val="center"/>
      </w:pPr>
      <w:r>
        <w:rPr>
          <w:rFonts w:ascii="Arial" w:hAnsi="Arial"/>
          <w:i/>
          <w:color w:val="5B6573"/>
          <w:sz w:val="16"/>
        </w:rPr>
        <w:t>Figure 7. MLflow comparison visualization for the two tracked runs.</w:t>
      </w:r>
    </w:p>
    <w:p>
      <w:pPr>
        <w:keepLines/>
        <w:spacing w:before="20" w:after="40"/>
        <w:jc w:val="center"/>
      </w:pPr>
      <w:r>
        <w:drawing>
          <wp:inline xmlns:a="http://schemas.openxmlformats.org/drawingml/2006/main" xmlns:pic="http://schemas.openxmlformats.org/drawingml/2006/picture">
            <wp:extent cx="5897880" cy="3096502"/>
            <wp:docPr id="8" name="Picture 8" descr="Prayogshala screenshot showing side-by-side parameters and evaluation metrics for Random Forest and Logistic Regression." title="Prayogshala screenshot showing side-by-side parameters and evaluation metrics for Random Forest and Logistic Regression."/>
            <wp:cNvGraphicFramePr>
              <a:graphicFrameLocks noChangeAspect="1"/>
            </wp:cNvGraphicFramePr>
            <a:graphic>
              <a:graphicData uri="http://schemas.openxmlformats.org/drawingml/2006/picture">
                <pic:pic>
                  <pic:nvPicPr>
                    <pic:cNvPr id="0" name="mlflow_metrics_comparison.png"/>
                    <pic:cNvPicPr/>
                  </pic:nvPicPr>
                  <pic:blipFill>
                    <a:blip r:embed="rId18"/>
                    <a:stretch>
                      <a:fillRect/>
                    </a:stretch>
                  </pic:blipFill>
                  <pic:spPr>
                    <a:xfrm>
                      <a:off x="0" y="0"/>
                      <a:ext cx="5897880" cy="3096502"/>
                    </a:xfrm>
                    <a:prstGeom prst="rect"/>
                  </pic:spPr>
                </pic:pic>
              </a:graphicData>
            </a:graphic>
          </wp:inline>
        </w:drawing>
      </w:r>
    </w:p>
    <w:p>
      <w:pPr>
        <w:keepNext w:val="0"/>
        <w:spacing w:before="0" w:after="140"/>
        <w:jc w:val="center"/>
      </w:pPr>
      <w:r>
        <w:rPr>
          <w:rFonts w:ascii="Arial" w:hAnsi="Arial"/>
          <w:i/>
          <w:color w:val="5B6573"/>
          <w:sz w:val="16"/>
        </w:rPr>
        <w:t>Figure 8. Side-by-side MLflow metrics: Random Forest has higher accuracy and recall; Logistic Regression has higher ROC-AUC.</w:t>
      </w:r>
    </w:p>
    <w:p>
      <w:pPr>
        <w:spacing w:after="0" w:line="259" w:lineRule="auto"/>
      </w:pPr>
      <w:r>
        <w:rPr>
          <w:sz w:val="17"/>
        </w:rPr>
        <w:t>MLflow tracking is configured with a local file-based store (mlruns/). The repository includes artifacts/metrics.json and plots for reproducible inspection; the tracking UI itself is not a remote model registry.</w:t>
      </w:r>
    </w:p>
    <w:p>
      <w:r>
        <w:br w:type="page"/>
      </w:r>
    </w:p>
    <w:p>
      <w:pPr>
        <w:spacing w:after="60"/>
      </w:pPr>
      <w:r>
        <w:rPr>
          <w:rFonts w:ascii="Arial" w:hAnsi="Arial"/>
          <w:b/>
          <w:color w:val="137C8B"/>
          <w:sz w:val="16"/>
        </w:rPr>
        <w:t>06  QUALITY CONTROLS</w:t>
      </w:r>
    </w:p>
    <w:p>
      <w:pPr>
        <w:pStyle w:val="Heading1"/>
      </w:pPr>
      <w:r>
        <w:t>Automated tests and linting</w:t>
      </w:r>
    </w:p>
    <w:p>
      <w:pPr>
        <w:spacing w:after="160"/>
      </w:pPr>
      <w:r>
        <w:rPr>
          <w:i/>
          <w:color w:val="5B6573"/>
          <w:sz w:val="18"/>
        </w:rPr>
        <w:t>The refreshed remote run provides direct terminal evidence for the project’s test suite and lint check.</w:t>
      </w:r>
    </w:p>
    <w:p>
      <w:pPr>
        <w:spacing w:after="80" w:line="259" w:lineRule="auto"/>
      </w:pPr>
      <w:r>
        <w:t>The test suite covers data validation, API health and prediction behavior, input rejection, metrics exposition, pipeline fitting and serialization. The captured run collected 13 tests and shows each test passing. Ruff reports “All checks passed!”. The screenshots also show deprecation warnings from installed dependencies; they did not cause test failures.</w:t>
      </w:r>
    </w:p>
    <w:p>
      <w:pPr>
        <w:keepLines/>
        <w:spacing w:before="20" w:after="40"/>
        <w:jc w:val="center"/>
      </w:pPr>
      <w:r>
        <w:drawing>
          <wp:inline xmlns:a="http://schemas.openxmlformats.org/drawingml/2006/main" xmlns:pic="http://schemas.openxmlformats.org/drawingml/2006/picture">
            <wp:extent cx="5852160" cy="3226807"/>
            <wp:docPr id="9" name="Picture 9" descr="Prayogshala terminal screenshot showing 13 pytest checks passed; dependency deprecation warnings follow." title="Prayogshala terminal screenshot showing 13 pytest checks passed; dependency deprecation warnings follow."/>
            <wp:cNvGraphicFramePr>
              <a:graphicFrameLocks noChangeAspect="1"/>
            </wp:cNvGraphicFramePr>
            <a:graphic>
              <a:graphicData uri="http://schemas.openxmlformats.org/drawingml/2006/picture">
                <pic:pic>
                  <pic:nvPicPr>
                    <pic:cNvPr id="0" name="pytest_results_13_passed.png"/>
                    <pic:cNvPicPr/>
                  </pic:nvPicPr>
                  <pic:blipFill>
                    <a:blip r:embed="rId19"/>
                    <a:stretch>
                      <a:fillRect/>
                    </a:stretch>
                  </pic:blipFill>
                  <pic:spPr>
                    <a:xfrm>
                      <a:off x="0" y="0"/>
                      <a:ext cx="5852160" cy="3226807"/>
                    </a:xfrm>
                    <a:prstGeom prst="rect"/>
                  </pic:spPr>
                </pic:pic>
              </a:graphicData>
            </a:graphic>
          </wp:inline>
        </w:drawing>
      </w:r>
    </w:p>
    <w:p>
      <w:pPr>
        <w:keepNext w:val="0"/>
        <w:spacing w:before="0" w:after="140"/>
        <w:jc w:val="center"/>
      </w:pPr>
      <w:r>
        <w:rPr>
          <w:rFonts w:ascii="Arial" w:hAnsi="Arial"/>
          <w:i/>
          <w:color w:val="5B6573"/>
          <w:sz w:val="16"/>
        </w:rPr>
        <w:t>Figure 9. Test run: all 13 tests passed. The captured environment reports Python 3.12.9.</w:t>
      </w:r>
    </w:p>
    <w:p>
      <w:pPr>
        <w:spacing w:after="80" w:line="259" w:lineRule="auto"/>
      </w:pPr>
      <w:r>
        <w:t>Ruff reported “All checks passed” in the refreshed remote run. Test coverage is grouped below by responsibility.</w:t>
      </w:r>
    </w:p>
    <w:tbl>
      <w:tblPr>
        <w:tblW w:type="auto" w:w="0"/>
        <w:jc w:val="center"/>
        <w:tblLayout w:type="fixed"/>
        <w:tblLook w:firstColumn="1" w:firstRow="1" w:lastColumn="0" w:lastRow="0" w:noHBand="0" w:noVBand="1" w:val="04A0"/>
        <w:tblBorders>
          <w:top w:val="single" w:sz="5" w:space="0" w:color="D5DCE3"/>
          <w:left w:val="single" w:sz="5" w:space="0" w:color="D5DCE3"/>
          <w:bottom w:val="single" w:sz="5" w:space="0" w:color="D5DCE3"/>
          <w:right w:val="single" w:sz="5" w:space="0" w:color="D5DCE3"/>
          <w:insideH w:val="single" w:sz="5" w:space="0" w:color="D5DCE3"/>
          <w:insideV w:val="single" w:sz="5" w:space="0" w:color="D5DCE3"/>
        </w:tblBorders>
      </w:tblPr>
      <w:tblGrid>
        <w:gridCol w:w="4831"/>
        <w:gridCol w:w="4831"/>
      </w:tblGrid>
      <w:tr>
        <w:trPr>
          <w:tblHeader w:val="true"/>
        </w:trPr>
        <w:tc>
          <w:tcPr>
            <w:tcW w:type="dxa" w:w="1656"/>
            <w:vAlign w:val="center"/>
            <w:tcMar>
              <w:top w:w="100" w:type="dxa"/>
              <w:start w:w="110" w:type="dxa"/>
              <w:bottom w:w="100" w:type="dxa"/>
              <w:end w:w="110" w:type="dxa"/>
            </w:tcMar>
            <w:shd w:fill="183153"/>
          </w:tcPr>
          <w:p>
            <w:pPr>
              <w:spacing w:after="0" w:before="0" w:line="240" w:lineRule="auto"/>
            </w:pPr>
            <w:r>
              <w:rPr>
                <w:rFonts w:ascii="Arial" w:hAnsi="Arial"/>
                <w:b/>
                <w:color w:val="FFFFFF"/>
                <w:sz w:val="16"/>
              </w:rPr>
              <w:t>Test area</w:t>
            </w:r>
          </w:p>
        </w:tc>
        <w:tc>
          <w:tcPr>
            <w:tcW w:type="dxa" w:w="7848"/>
            <w:vAlign w:val="center"/>
            <w:tcMar>
              <w:top w:w="100" w:type="dxa"/>
              <w:start w:w="110" w:type="dxa"/>
              <w:bottom w:w="100" w:type="dxa"/>
              <w:end w:w="110" w:type="dxa"/>
            </w:tcMar>
            <w:shd w:fill="183153"/>
          </w:tcPr>
          <w:p>
            <w:pPr>
              <w:spacing w:after="0" w:before="0" w:line="240" w:lineRule="auto"/>
              <w:jc w:val="center"/>
            </w:pPr>
            <w:r>
              <w:rPr>
                <w:rFonts w:ascii="Arial" w:hAnsi="Arial"/>
                <w:b/>
                <w:color w:val="FFFFFF"/>
                <w:sz w:val="16"/>
              </w:rPr>
              <w:t>Verified behavior</w:t>
            </w:r>
          </w:p>
        </w:tc>
      </w:tr>
      <w:tr>
        <w:trPr/>
        <w:tc>
          <w:tcPr>
            <w:tcW w:type="dxa" w:w="1656"/>
            <w:vAlign w:val="center"/>
            <w:tcMar>
              <w:top w:w="100" w:type="dxa"/>
              <w:start w:w="110" w:type="dxa"/>
              <w:bottom w:w="100" w:type="dxa"/>
              <w:end w:w="110" w:type="dxa"/>
            </w:tcMar>
          </w:tcPr>
          <w:p>
            <w:pPr>
              <w:spacing w:after="0" w:before="0" w:line="240" w:lineRule="auto"/>
            </w:pPr>
            <w:r>
              <w:rPr>
                <w:rFonts w:ascii="Arial" w:hAnsi="Arial"/>
                <w:sz w:val="16"/>
              </w:rPr>
              <w:t>API</w:t>
            </w:r>
          </w:p>
        </w:tc>
        <w:tc>
          <w:tcPr>
            <w:tcW w:type="dxa" w:w="7848"/>
            <w:vAlign w:val="center"/>
            <w:tcMar>
              <w:top w:w="100" w:type="dxa"/>
              <w:start w:w="110" w:type="dxa"/>
              <w:bottom w:w="100" w:type="dxa"/>
              <w:end w:w="110" w:type="dxa"/>
            </w:tcMar>
          </w:tcPr>
          <w:p>
            <w:pPr>
              <w:spacing w:after="0" w:before="0" w:line="240" w:lineRule="auto"/>
              <w:jc w:val="center"/>
            </w:pPr>
            <w:r>
              <w:rPr>
                <w:rFonts w:ascii="Arial" w:hAnsi="Arial"/>
                <w:sz w:val="16"/>
              </w:rPr>
              <w:t>Health, prediction success, invalid input and metrics endpoint</w:t>
            </w:r>
          </w:p>
        </w:tc>
      </w:tr>
      <w:tr>
        <w:trPr/>
        <w:tc>
          <w:tcPr>
            <w:tcW w:type="dxa" w:w="1656"/>
            <w:vAlign w:val="center"/>
            <w:tcMar>
              <w:top w:w="100" w:type="dxa"/>
              <w:start w:w="110" w:type="dxa"/>
              <w:bottom w:w="100" w:type="dxa"/>
              <w:end w:w="110" w:type="dxa"/>
            </w:tcMar>
            <w:shd w:fill="F7F9FB"/>
          </w:tcPr>
          <w:p>
            <w:pPr>
              <w:spacing w:after="0" w:before="0" w:line="240" w:lineRule="auto"/>
            </w:pPr>
            <w:r>
              <w:rPr>
                <w:rFonts w:ascii="Arial" w:hAnsi="Arial"/>
                <w:sz w:val="16"/>
              </w:rPr>
              <w:t>Data</w:t>
            </w:r>
          </w:p>
        </w:tc>
        <w:tc>
          <w:tcPr>
            <w:tcW w:type="dxa" w:w="7848"/>
            <w:vAlign w:val="center"/>
            <w:tcMar>
              <w:top w:w="100" w:type="dxa"/>
              <w:start w:w="110" w:type="dxa"/>
              <w:bottom w:w="100" w:type="dxa"/>
              <w:end w:w="110" w:type="dxa"/>
            </w:tcMar>
            <w:shd w:fill="F7F9FB"/>
          </w:tcPr>
          <w:p>
            <w:pPr>
              <w:spacing w:after="0" w:before="0" w:line="240" w:lineRule="auto"/>
              <w:jc w:val="center"/>
            </w:pPr>
            <w:r>
              <w:rPr>
                <w:rFonts w:ascii="Arial" w:hAnsi="Arial"/>
                <w:sz w:val="16"/>
              </w:rPr>
              <w:t>Schema, target validation, missing columns and empty frame handling</w:t>
            </w:r>
          </w:p>
        </w:tc>
      </w:tr>
      <w:tr>
        <w:trPr/>
        <w:tc>
          <w:tcPr>
            <w:tcW w:type="dxa" w:w="1656"/>
            <w:vAlign w:val="center"/>
            <w:tcMar>
              <w:top w:w="100" w:type="dxa"/>
              <w:start w:w="110" w:type="dxa"/>
              <w:bottom w:w="100" w:type="dxa"/>
              <w:end w:w="110" w:type="dxa"/>
            </w:tcMar>
          </w:tcPr>
          <w:p>
            <w:pPr>
              <w:spacing w:after="0" w:before="0" w:line="240" w:lineRule="auto"/>
            </w:pPr>
            <w:r>
              <w:rPr>
                <w:rFonts w:ascii="Arial" w:hAnsi="Arial"/>
                <w:sz w:val="16"/>
              </w:rPr>
              <w:t>Model</w:t>
            </w:r>
          </w:p>
        </w:tc>
        <w:tc>
          <w:tcPr>
            <w:tcW w:type="dxa" w:w="7848"/>
            <w:vAlign w:val="center"/>
            <w:tcMar>
              <w:top w:w="100" w:type="dxa"/>
              <w:start w:w="110" w:type="dxa"/>
              <w:bottom w:w="100" w:type="dxa"/>
              <w:end w:w="110" w:type="dxa"/>
            </w:tcMar>
          </w:tcPr>
          <w:p>
            <w:pPr>
              <w:spacing w:after="0" w:before="0" w:line="240" w:lineRule="auto"/>
              <w:jc w:val="center"/>
            </w:pPr>
            <w:r>
              <w:rPr>
                <w:rFonts w:ascii="Arial" w:hAnsi="Arial"/>
                <w:sz w:val="16"/>
              </w:rPr>
              <w:t>Preprocessor construction, fit/predict and serialized artifact load</w:t>
            </w:r>
          </w:p>
        </w:tc>
      </w:tr>
    </w:tbl>
    <w:p>
      <w:pPr>
        <w:spacing w:after="0" w:line="259" w:lineRule="auto"/>
      </w:pPr>
      <w:r>
        <w:rPr>
          <w:sz w:val="17"/>
        </w:rPr>
        <w:t>The GitHub Actions workflow is configured for Python 3.10 and runs Ruff, data preparation, model training, Pytest, EDA generation and artifact upload. The recorded test screenshot is from Python 3.12.9, so it is separate evidence from the configured CI runtime.</w:t>
      </w:r>
    </w:p>
    <w:p>
      <w:r>
        <w:br w:type="page"/>
      </w:r>
    </w:p>
    <w:p>
      <w:pPr>
        <w:spacing w:after="60"/>
      </w:pPr>
      <w:r>
        <w:rPr>
          <w:rFonts w:ascii="Arial" w:hAnsi="Arial"/>
          <w:b/>
          <w:color w:val="137C8B"/>
          <w:sz w:val="16"/>
        </w:rPr>
        <w:t>07  SERVING</w:t>
      </w:r>
    </w:p>
    <w:p>
      <w:pPr>
        <w:pStyle w:val="Heading1"/>
      </w:pPr>
      <w:r>
        <w:t>FastAPI inference and container execution</w:t>
      </w:r>
    </w:p>
    <w:p>
      <w:pPr>
        <w:spacing w:after="160"/>
      </w:pPr>
      <w:r>
        <w:rPr>
          <w:i/>
          <w:color w:val="5B6573"/>
          <w:sz w:val="18"/>
        </w:rPr>
        <w:t>The serving interface validates the request schema and returns a class label with a disease probability.</w:t>
      </w:r>
    </w:p>
    <w:p>
      <w:pPr>
        <w:spacing w:after="60" w:line="259" w:lineRule="auto"/>
      </w:pPr>
      <w:r>
        <w:t>FastAPI exposes GET /health, POST /predict and GET /metrics. The model is loaded through a one-entry cache, so requests reuse the serialized pipeline. Pydantic bounds validate the 13 fields before inference. The prediction endpoint reports prediction, risk_label, confidence, disease_probability and model_version.</w:t>
      </w:r>
    </w:p>
    <w:p>
      <w:pPr>
        <w:keepLines/>
        <w:spacing w:before="20" w:after="40"/>
        <w:jc w:val="center"/>
      </w:pPr>
      <w:r>
        <w:drawing>
          <wp:inline xmlns:a="http://schemas.openxmlformats.org/drawingml/2006/main" xmlns:pic="http://schemas.openxmlformats.org/drawingml/2006/picture">
            <wp:extent cx="5852160" cy="3214116"/>
            <wp:docPr id="10" name="Picture 10" descr="Prayogshala Swagger screenshot showing HTTP 200 for a sample POST /predict request and JSON response." title="Prayogshala Swagger screenshot showing HTTP 200 for a sample POST /predict request and JSON response."/>
            <wp:cNvGraphicFramePr>
              <a:graphicFrameLocks noChangeAspect="1"/>
            </wp:cNvGraphicFramePr>
            <a:graphic>
              <a:graphicData uri="http://schemas.openxmlformats.org/drawingml/2006/picture">
                <pic:pic>
                  <pic:nvPicPr>
                    <pic:cNvPr id="0" name="api_prediction_response.png"/>
                    <pic:cNvPicPr/>
                  </pic:nvPicPr>
                  <pic:blipFill>
                    <a:blip r:embed="rId20"/>
                    <a:stretch>
                      <a:fillRect/>
                    </a:stretch>
                  </pic:blipFill>
                  <pic:spPr>
                    <a:xfrm>
                      <a:off x="0" y="0"/>
                      <a:ext cx="5852160" cy="3214116"/>
                    </a:xfrm>
                    <a:prstGeom prst="rect"/>
                  </pic:spPr>
                </pic:pic>
              </a:graphicData>
            </a:graphic>
          </wp:inline>
        </w:drawing>
      </w:r>
    </w:p>
    <w:p>
      <w:pPr>
        <w:keepNext w:val="0"/>
        <w:spacing w:before="0" w:after="140"/>
        <w:jc w:val="center"/>
      </w:pPr>
      <w:r>
        <w:rPr>
          <w:rFonts w:ascii="Arial" w:hAnsi="Arial"/>
          <w:i/>
          <w:color w:val="5B6573"/>
          <w:sz w:val="16"/>
        </w:rPr>
        <w:t>Figure 10. Swagger prediction request returned HTTP 200 with a no-disease-risk result for the submitted example.</w:t>
      </w:r>
    </w:p>
    <w:p>
      <w:pPr>
        <w:keepLines/>
        <w:spacing w:before="20" w:after="40"/>
        <w:jc w:val="center"/>
      </w:pPr>
      <w:r>
        <w:drawing>
          <wp:inline xmlns:a="http://schemas.openxmlformats.org/drawingml/2006/main" xmlns:pic="http://schemas.openxmlformats.org/drawingml/2006/picture">
            <wp:extent cx="5852160" cy="3235954"/>
            <wp:docPr id="11" name="Picture 11" descr="Prayogshala terminal screenshot showing Docker Compose services running and the API container healthy." title="Prayogshala terminal screenshot showing Docker Compose services running and the API container healthy."/>
            <wp:cNvGraphicFramePr>
              <a:graphicFrameLocks noChangeAspect="1"/>
            </wp:cNvGraphicFramePr>
            <a:graphic>
              <a:graphicData uri="http://schemas.openxmlformats.org/drawingml/2006/picture">
                <pic:pic>
                  <pic:nvPicPr>
                    <pic:cNvPr id="0" name="docker_compose_services_running.png"/>
                    <pic:cNvPicPr/>
                  </pic:nvPicPr>
                  <pic:blipFill>
                    <a:blip r:embed="rId21"/>
                    <a:stretch>
                      <a:fillRect/>
                    </a:stretch>
                  </pic:blipFill>
                  <pic:spPr>
                    <a:xfrm>
                      <a:off x="0" y="0"/>
                      <a:ext cx="5852160" cy="3235954"/>
                    </a:xfrm>
                    <a:prstGeom prst="rect"/>
                  </pic:spPr>
                </pic:pic>
              </a:graphicData>
            </a:graphic>
          </wp:inline>
        </w:drawing>
      </w:r>
    </w:p>
    <w:p>
      <w:pPr>
        <w:keepNext w:val="0"/>
        <w:spacing w:before="0" w:after="140"/>
        <w:jc w:val="center"/>
      </w:pPr>
      <w:r>
        <w:rPr>
          <w:rFonts w:ascii="Arial" w:hAnsi="Arial"/>
          <w:i/>
          <w:color w:val="5B6573"/>
          <w:sz w:val="16"/>
        </w:rPr>
        <w:t>Figure 11. Docker Compose build and runtime status for the API, Prometheus and Grafana services.</w:t>
      </w:r>
    </w:p>
    <w:p>
      <w:pPr>
        <w:spacing w:after="0" w:line="259" w:lineRule="auto"/>
      </w:pPr>
      <w:r>
        <w:rPr>
          <w:sz w:val="17"/>
        </w:rPr>
        <w:t>The Docker Compose stack provides local service ports for the API, Prometheus and Grafana. The screenshots evidence a successful build and a healthy API container. The endpoint is a demonstration interface; the dataset and model are not clinically validated.</w:t>
      </w:r>
    </w:p>
    <w:p>
      <w:r>
        <w:br w:type="page"/>
      </w:r>
    </w:p>
    <w:p>
      <w:pPr>
        <w:spacing w:after="60"/>
      </w:pPr>
      <w:r>
        <w:rPr>
          <w:rFonts w:ascii="Arial" w:hAnsi="Arial"/>
          <w:b/>
          <w:color w:val="137C8B"/>
          <w:sz w:val="16"/>
        </w:rPr>
        <w:t>08  MONITORING</w:t>
      </w:r>
    </w:p>
    <w:p>
      <w:pPr>
        <w:pStyle w:val="Heading1"/>
      </w:pPr>
      <w:r>
        <w:t>Prometheus metrics and Grafana dashboard</w:t>
      </w:r>
    </w:p>
    <w:p>
      <w:pPr>
        <w:spacing w:after="160"/>
      </w:pPr>
      <w:r>
        <w:rPr>
          <w:i/>
          <w:color w:val="5B6573"/>
          <w:sz w:val="18"/>
        </w:rPr>
        <w:t>The API exposes prediction counts by outcome and an inference-latency histogram for scraping.</w:t>
      </w:r>
    </w:p>
    <w:p>
      <w:pPr>
        <w:spacing w:after="80" w:line="259" w:lineRule="auto"/>
      </w:pPr>
      <w:r>
        <w:t>Prometheus is configured to scrape the API’s /metrics endpoint every five seconds. The Grafana dashboard reports total predictions, disease-risk and no-disease predictions, prediction share, request rate, latency quantiles, average latency and container resource panels. During the recorded view, the dashboard showed 17 predictions: 8 disease-risk and 9 no-disease outcomes (47.1% disease-risk share). These are demonstration requests, not population estimates.</w:t>
      </w:r>
    </w:p>
    <w:p>
      <w:pPr>
        <w:keepLines/>
        <w:spacing w:before="20" w:after="40"/>
        <w:jc w:val="center"/>
      </w:pPr>
      <w:r>
        <w:drawing>
          <wp:inline xmlns:a="http://schemas.openxmlformats.org/drawingml/2006/main" xmlns:pic="http://schemas.openxmlformats.org/drawingml/2006/picture">
            <wp:extent cx="5897880" cy="3253049"/>
            <wp:docPr id="12" name="Picture 12" descr="Prayogshala Grafana dashboard with total predictions, outcome counts and share, request rate and latency panels." title="Prayogshala Grafana dashboard with total predictions, outcome counts and share, request rate and latency panels."/>
            <wp:cNvGraphicFramePr>
              <a:graphicFrameLocks noChangeAspect="1"/>
            </wp:cNvGraphicFramePr>
            <a:graphic>
              <a:graphicData uri="http://schemas.openxmlformats.org/drawingml/2006/picture">
                <pic:pic>
                  <pic:nvPicPr>
                    <pic:cNvPr id="0" name="grafana_dashboard_overview.png"/>
                    <pic:cNvPicPr/>
                  </pic:nvPicPr>
                  <pic:blipFill>
                    <a:blip r:embed="rId22"/>
                    <a:stretch>
                      <a:fillRect/>
                    </a:stretch>
                  </pic:blipFill>
                  <pic:spPr>
                    <a:xfrm>
                      <a:off x="0" y="0"/>
                      <a:ext cx="5897880" cy="3253049"/>
                    </a:xfrm>
                    <a:prstGeom prst="rect"/>
                  </pic:spPr>
                </pic:pic>
              </a:graphicData>
            </a:graphic>
          </wp:inline>
        </w:drawing>
      </w:r>
    </w:p>
    <w:p>
      <w:pPr>
        <w:keepNext w:val="0"/>
        <w:spacing w:before="0" w:after="140"/>
        <w:jc w:val="center"/>
      </w:pPr>
      <w:r>
        <w:rPr>
          <w:rFonts w:ascii="Arial" w:hAnsi="Arial"/>
          <w:i/>
          <w:color w:val="5B6573"/>
          <w:sz w:val="16"/>
        </w:rPr>
        <w:t>Figure 12. Operations overview during the recorded demonstration: 17 predictions, 8 positive and 9 negative.</w:t>
      </w:r>
    </w:p>
    <w:p>
      <w:pPr>
        <w:keepLines/>
        <w:spacing w:before="20" w:after="40"/>
        <w:jc w:val="center"/>
      </w:pPr>
      <w:r>
        <w:drawing>
          <wp:inline xmlns:a="http://schemas.openxmlformats.org/drawingml/2006/main" xmlns:pic="http://schemas.openxmlformats.org/drawingml/2006/picture">
            <wp:extent cx="5897880" cy="3262265"/>
            <wp:docPr id="13" name="Picture 13" descr="Prayogshala Grafana screenshot showing prediction latency quantiles, resource usage and Prometheus target health." title="Prayogshala Grafana screenshot showing prediction latency quantiles, resource usage and Prometheus target health."/>
            <wp:cNvGraphicFramePr>
              <a:graphicFrameLocks noChangeAspect="1"/>
            </wp:cNvGraphicFramePr>
            <a:graphic>
              <a:graphicData uri="http://schemas.openxmlformats.org/drawingml/2006/picture">
                <pic:pic>
                  <pic:nvPicPr>
                    <pic:cNvPr id="0" name="grafana_dashboard_latency_resources.png"/>
                    <pic:cNvPicPr/>
                  </pic:nvPicPr>
                  <pic:blipFill>
                    <a:blip r:embed="rId23"/>
                    <a:stretch>
                      <a:fillRect/>
                    </a:stretch>
                  </pic:blipFill>
                  <pic:spPr>
                    <a:xfrm>
                      <a:off x="0" y="0"/>
                      <a:ext cx="5897880" cy="3262265"/>
                    </a:xfrm>
                    <a:prstGeom prst="rect"/>
                  </pic:spPr>
                </pic:pic>
              </a:graphicData>
            </a:graphic>
          </wp:inline>
        </w:drawing>
      </w:r>
    </w:p>
    <w:p>
      <w:pPr>
        <w:keepNext w:val="0"/>
        <w:spacing w:before="0" w:after="140"/>
        <w:jc w:val="center"/>
      </w:pPr>
      <w:r>
        <w:rPr>
          <w:rFonts w:ascii="Arial" w:hAnsi="Arial"/>
          <w:i/>
          <w:color w:val="5B6573"/>
          <w:sz w:val="16"/>
        </w:rPr>
        <w:t>Figure 13. Latency and resource panels; the screenshot shows monitoring targets in the UP state.</w:t>
      </w:r>
    </w:p>
    <w:p>
      <w:pPr>
        <w:spacing w:after="0" w:line="259" w:lineRule="auto"/>
      </w:pPr>
      <w:r>
        <w:rPr>
          <w:sz w:val="17"/>
        </w:rPr>
        <w:t>Observed latency and resource values are specific to this short test session and host. They do not establish service-level objectives or sustained-load performance.</w:t>
      </w:r>
    </w:p>
    <w:p>
      <w:r>
        <w:br w:type="page"/>
      </w:r>
    </w:p>
    <w:p>
      <w:pPr>
        <w:spacing w:after="60"/>
      </w:pPr>
      <w:r>
        <w:rPr>
          <w:rFonts w:ascii="Arial" w:hAnsi="Arial"/>
          <w:b/>
          <w:color w:val="137C8B"/>
          <w:sz w:val="16"/>
        </w:rPr>
        <w:t>09  DEPLOYMENT AND REPRODUCIBILITY</w:t>
      </w:r>
    </w:p>
    <w:p>
      <w:pPr>
        <w:pStyle w:val="Heading1"/>
      </w:pPr>
      <w:r>
        <w:t>Minikube evidence, limits and run instructions</w:t>
      </w:r>
    </w:p>
    <w:p>
      <w:pPr>
        <w:spacing w:after="160"/>
      </w:pPr>
      <w:r>
        <w:rPr>
          <w:i/>
          <w:color w:val="5B6573"/>
          <w:sz w:val="18"/>
        </w:rPr>
        <w:t>The remote demonstration used the BITS Prayogshala environment and the heart-risk Kubernetes namespace.</w:t>
      </w:r>
    </w:p>
    <w:p>
      <w:pPr>
        <w:spacing w:after="60" w:line="259" w:lineRule="auto"/>
      </w:pPr>
      <w:r>
        <w:t>The Kubernetes evidence shows two heart-risk-api pods in Running state and a deployment with two available replicas. A kubectl port-forward to service/heart-risk-api on local port 8002 returned a healthy /health response with model_loaded=true. Helm lint completed with one chart and no failures; it displayed an informational recommendation to add a chart icon.</w:t>
      </w:r>
    </w:p>
    <w:p>
      <w:pPr>
        <w:keepLines/>
        <w:spacing w:before="20" w:after="40"/>
        <w:jc w:val="center"/>
      </w:pPr>
      <w:r>
        <w:drawing>
          <wp:inline xmlns:a="http://schemas.openxmlformats.org/drawingml/2006/main" xmlns:pic="http://schemas.openxmlformats.org/drawingml/2006/picture">
            <wp:extent cx="5852160" cy="3236976"/>
            <wp:docPr id="14" name="Picture 14" descr="Prayogshala terminal screenshot showing two running Kubernetes pods, port-forward health response and successful Helm lint." title="Prayogshala terminal screenshot showing two running Kubernetes pods, port-forward health response and successful Helm lint."/>
            <wp:cNvGraphicFramePr>
              <a:graphicFrameLocks noChangeAspect="1"/>
            </wp:cNvGraphicFramePr>
            <a:graphic>
              <a:graphicData uri="http://schemas.openxmlformats.org/drawingml/2006/picture">
                <pic:pic>
                  <pic:nvPicPr>
                    <pic:cNvPr id="0" name="kubernetes_helm_status.png"/>
                    <pic:cNvPicPr/>
                  </pic:nvPicPr>
                  <pic:blipFill>
                    <a:blip r:embed="rId24"/>
                    <a:stretch>
                      <a:fillRect/>
                    </a:stretch>
                  </pic:blipFill>
                  <pic:spPr>
                    <a:xfrm>
                      <a:off x="0" y="0"/>
                      <a:ext cx="5852160" cy="3236976"/>
                    </a:xfrm>
                    <a:prstGeom prst="rect"/>
                  </pic:spPr>
                </pic:pic>
              </a:graphicData>
            </a:graphic>
          </wp:inline>
        </w:drawing>
      </w:r>
    </w:p>
    <w:p>
      <w:pPr>
        <w:keepNext w:val="0"/>
        <w:spacing w:before="0" w:after="140"/>
        <w:jc w:val="center"/>
      </w:pPr>
      <w:r>
        <w:rPr>
          <w:rFonts w:ascii="Arial" w:hAnsi="Arial"/>
          <w:i/>
          <w:color w:val="5B6573"/>
          <w:sz w:val="16"/>
        </w:rPr>
        <w:t>Figure 14. Minikube and Helm evidence from Prayogshala.</w:t>
      </w:r>
    </w:p>
    <w:p>
      <w:pPr>
        <w:spacing w:after="60" w:line="259" w:lineRule="auto"/>
      </w:pPr>
      <w:r>
        <w:rPr>
          <w:sz w:val="17"/>
        </w:rPr>
        <w:t>Deployment limits observed: the LoadBalancer Service had EXTERNAL-IP pending, so the service was accessed through port-forward rather than a public endpoint. HPA CPU and memory targets appeared as &lt;unknown&gt;; autoscaling configuration exists, but this run does not demonstrate active scaling. The shown HPA minimum and observed replicas were two.</w:t>
      </w:r>
    </w:p>
    <w:p>
      <w:pPr>
        <w:pStyle w:val="Heading2"/>
      </w:pPr>
      <w:r>
        <w:t>Reproduction commands</w:t>
      </w:r>
    </w:p>
    <w:p>
      <w:pPr>
        <w:spacing w:before="40" w:after="120" w:line="240" w:lineRule="auto"/>
        <w:ind w:left="202" w:right="173"/>
        <w:shd w:fill="F1F4F7"/>
      </w:pPr>
      <w:r>
        <w:rPr>
          <w:rFonts w:ascii="Courier New" w:hAnsi="Courier New"/>
          <w:color w:val="1F2937"/>
          <w:sz w:val="15"/>
        </w:rPr>
        <w:t>python scripts/prepare_data.py</w:t>
        <w:br/>
        <w:t>python scripts/run_eda.py</w:t>
        <w:br/>
        <w:t>python -m src.heart_risk.train --experiment-name heart-risk-production</w:t>
        <w:br/>
        <w:t>python -m pytest -v &amp;&amp; python -m ruff check src tests scripts</w:t>
        <w:br/>
        <w:t>docker compose up --build</w:t>
        <w:br/>
        <w:t>kubectl apply -f k8s/00-namespace.yaml</w:t>
        <w:br/>
        <w:t>kubectl apply -f k8s/</w:t>
        <w:br/>
        <w:t>kubectl port-forward service/heart-risk-api 8002:80 -n heart-risk</w:t>
      </w:r>
    </w:p>
    <w:p>
      <w:pPr>
        <w:spacing w:after="60" w:line="259" w:lineRule="auto"/>
      </w:pPr>
      <w:r>
        <w:rPr>
          <w:b/>
          <w:sz w:val="16"/>
        </w:rPr>
        <w:t>Clinical and data limitations:</w:t>
      </w:r>
      <w:r>
        <w:rPr>
          <w:sz w:val="16"/>
        </w:rPr>
        <w:t xml:space="preserve"> the dataset is small, historical and limited to the Cleveland cohort. Missingness, sampling bias, label construction, calibration, subgroup fairness and temporal drift require further study. The model is an academic prototype, not a diagnostic device.</w:t>
      </w:r>
    </w:p>
    <w:p>
      <w:pPr>
        <w:spacing w:after="20"/>
      </w:pPr>
      <w:r>
        <w:rPr>
          <w:b/>
          <w:sz w:val="18"/>
        </w:rPr>
        <w:t>References</w:t>
      </w:r>
    </w:p>
    <w:p>
      <w:pPr>
        <w:spacing w:after="20" w:line="259" w:lineRule="auto"/>
      </w:pPr>
      <w:r>
        <w:rPr>
          <w:sz w:val="15"/>
        </w:rPr>
        <w:t>Janosi, A., Steinbrunn, W., Pfisterer, M., &amp; Detrano, R. (1989). Heart Disease [Dataset]. UCI Machine Learning Repository. https://doi.org/10.24432/C52P4X</w:t>
      </w:r>
    </w:p>
    <w:p>
      <w:pPr>
        <w:spacing w:after="0" w:line="240" w:lineRule="auto"/>
      </w:pPr>
      <w:r>
        <w:rPr>
          <w:sz w:val="15"/>
        </w:rPr>
        <w:t xml:space="preserve">Source code and generated evidence: </w:t>
      </w:r>
      <w:hyperlink r:id="rId10">
        <w:r>
          <w:rPr>
            <w:color w:val="137C8B"/>
            <w:u w:val="single"/>
          </w:rPr>
          <w:t>github.com/UjjwalSk/mlops-assignment-1</w:t>
        </w:r>
      </w:hyperlink>
    </w:p>
    <w:sectPr w:rsidR="00FC693F" w:rsidRPr="0006063C" w:rsidSect="00034616">
      <w:footerReference w:type="default" r:id="rId9"/>
      <w:headerReference w:type="default" r:id="rId25"/>
      <w:pgSz w:w="11909" w:h="16834"/>
      <w:pgMar w:top="979" w:right="1123" w:bottom="979"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5B6573"/>
        <w:sz w:val="15"/>
      </w:rPr>
      <w:t xml:space="preserve">BITS PILANI  |  AIMLZG523  |  ASSIGNMENT 01     •     PAGE </w:t>
    </w:r>
    <w:r>
      <w:rPr>
        <w:rFonts w:ascii="Arial" w:hAnsi="Arial"/>
        <w:color w:val="5B6573"/>
        <w:sz w:val="15"/>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UjjwalSk/mlops-assignment-1"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to End MLOps for Heart Disease Risk Prediction</dc:title>
  <dc:subject>AIMLZG523 Assignment 01</dc:subject>
  <dc:creator>Ujjwal | Student ID 2025ae05260</dc:creator>
  <cp:keywords>AIMLZG523, Assignment 01, MLOps, UCI Heart Disease, MLflow, FastAPI, Docker, Kubernetes, Prometheus, Grafana</cp:keywords>
  <dc:description>Final assignment report with refreshed Prayogshala evidence.</dc:description>
  <cp:lastModifiedBy/>
  <cp:revision>1</cp:revision>
  <dcterms:created xsi:type="dcterms:W3CDTF">2013-12-23T23:15:00Z</dcterms:created>
  <dcterms:modified xsi:type="dcterms:W3CDTF">2013-12-23T23:15:00Z</dcterms:modified>
  <cp:category/>
</cp:coreProperties>
</file>