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0D1B2A"/>
          <w:sz w:val="52"/>
          <w:szCs w:val="52"/>
        </w:rPr>
        <w:t xml:space="preserve">DATA OPERATIONS PROJECT REPORT</w:t>
      </w:r>
    </w:p>
    <w:p>
      <w:pPr>
        <w:spacing w:after="40" w:before="0"/>
        <w:jc w:val="center"/>
      </w:pPr>
      <w:r>
        <w:rPr>
          <w:rFonts w:ascii="Arial" w:cs="Arial" w:eastAsia="Arial" w:hAnsi="Arial"/>
          <w:b/>
          <w:bCs/>
          <w:color w:val="1F4E79"/>
          <w:sz w:val="34"/>
          <w:szCs w:val="34"/>
        </w:rPr>
        <w:t xml:space="preserve">FMCG Market Intelligence</w:t>
      </w:r>
    </w:p>
    <w:p>
      <w:pPr>
        <w:spacing w:after="320" w:before="0"/>
        <w:jc w:val="center"/>
      </w:pPr>
      <w:r>
        <w:rPr>
          <w:rFonts w:ascii="Arial" w:cs="Arial" w:eastAsia="Arial" w:hAnsi="Arial"/>
          <w:i/>
          <w:iCs/>
          <w:color w:val="555555"/>
          <w:sz w:val="24"/>
          <w:szCs w:val="24"/>
        </w:rPr>
        <w:t xml:space="preserve">National vs Private Label Brand Intelligence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0D1B2A" w:val="clear"/>
            <w:tcMar>
              <w:top w:type="dxa" w:w="140"/>
              <w:left w:type="dxa" w:w="160"/>
              <w:bottom w:type="dxa" w:w="140"/>
              <w:right w:type="dxa" w:w="160"/>
            </w:tcMar>
            <w:vAlign w:val="center"/>
          </w:tcPr>
          <w:p>
            <w:pPr>
              <w:spacing w:after="20" w:before="40"/>
              <w:jc w:val="center"/>
            </w:pPr>
            <w:r>
              <w:rPr>
                <w:rFonts w:ascii="Arial" w:cs="Arial" w:eastAsia="Arial" w:hAnsi="Arial"/>
                <w:b/>
                <w:bCs/>
                <w:color w:val="FFFFFF"/>
                <w:sz w:val="44"/>
                <w:szCs w:val="44"/>
              </w:rPr>
              <w:t xml:space="preserve">$3.2M</w:t>
            </w:r>
          </w:p>
          <w:p>
            <w:pPr>
              <w:spacing w:after="40" w:before="0"/>
              <w:jc w:val="center"/>
            </w:pPr>
            <w:r>
              <w:rPr>
                <w:rFonts w:ascii="Arial" w:cs="Arial" w:eastAsia="Arial" w:hAnsi="Arial"/>
                <w:color w:val="AABCCE"/>
                <w:sz w:val="16"/>
                <w:szCs w:val="16"/>
              </w:rPr>
              <w:t xml:space="preserve">Total Recorded Sales</w:t>
            </w:r>
          </w:p>
        </w:tc>
        <w:tc>
          <w:tcPr>
            <w:tcW w:type="dxa" w:w="2340"/>
            <w:tcBorders>
              <w:top w:val="single" w:color="2E75B6" w:sz="1"/>
              <w:left w:val="single" w:color="2E75B6" w:sz="1"/>
              <w:bottom w:val="single" w:color="2E75B6" w:sz="1"/>
              <w:right w:val="single" w:color="2E75B6" w:sz="1"/>
            </w:tcBorders>
            <w:shd w:fill="0D1B2A" w:val="clear"/>
            <w:tcMar>
              <w:top w:type="dxa" w:w="140"/>
              <w:left w:type="dxa" w:w="160"/>
              <w:bottom w:type="dxa" w:w="140"/>
              <w:right w:type="dxa" w:w="160"/>
            </w:tcMar>
            <w:vAlign w:val="center"/>
          </w:tcPr>
          <w:p>
            <w:pPr>
              <w:spacing w:after="20" w:before="40"/>
              <w:jc w:val="center"/>
            </w:pPr>
            <w:r>
              <w:rPr>
                <w:rFonts w:ascii="Arial" w:cs="Arial" w:eastAsia="Arial" w:hAnsi="Arial"/>
                <w:b/>
                <w:bCs/>
                <w:color w:val="FFFFFF"/>
                <w:sz w:val="44"/>
                <w:szCs w:val="44"/>
              </w:rPr>
              <w:t xml:space="preserve">72.97%</w:t>
            </w:r>
          </w:p>
          <w:p>
            <w:pPr>
              <w:spacing w:after="40" w:before="0"/>
              <w:jc w:val="center"/>
            </w:pPr>
            <w:r>
              <w:rPr>
                <w:rFonts w:ascii="Arial" w:cs="Arial" w:eastAsia="Arial" w:hAnsi="Arial"/>
                <w:color w:val="AABCCE"/>
                <w:sz w:val="16"/>
                <w:szCs w:val="16"/>
              </w:rPr>
              <w:t xml:space="preserve">National Brand Share</w:t>
            </w:r>
          </w:p>
        </w:tc>
        <w:tc>
          <w:tcPr>
            <w:tcW w:type="dxa" w:w="2340"/>
            <w:tcBorders>
              <w:top w:val="single" w:color="2E75B6" w:sz="1"/>
              <w:left w:val="single" w:color="2E75B6" w:sz="1"/>
              <w:bottom w:val="single" w:color="2E75B6" w:sz="1"/>
              <w:right w:val="single" w:color="2E75B6" w:sz="1"/>
            </w:tcBorders>
            <w:shd w:fill="0D1B2A" w:val="clear"/>
            <w:tcMar>
              <w:top w:type="dxa" w:w="140"/>
              <w:left w:type="dxa" w:w="160"/>
              <w:bottom w:type="dxa" w:w="140"/>
              <w:right w:type="dxa" w:w="160"/>
            </w:tcMar>
            <w:vAlign w:val="center"/>
          </w:tcPr>
          <w:p>
            <w:pPr>
              <w:spacing w:after="20" w:before="40"/>
              <w:jc w:val="center"/>
            </w:pPr>
            <w:r>
              <w:rPr>
                <w:rFonts w:ascii="Arial" w:cs="Arial" w:eastAsia="Arial" w:hAnsi="Arial"/>
                <w:b/>
                <w:bCs/>
                <w:color w:val="FFFFFF"/>
                <w:sz w:val="44"/>
                <w:szCs w:val="44"/>
              </w:rPr>
              <w:t xml:space="preserve">27.03%</w:t>
            </w:r>
          </w:p>
          <w:p>
            <w:pPr>
              <w:spacing w:after="40" w:before="0"/>
              <w:jc w:val="center"/>
            </w:pPr>
            <w:r>
              <w:rPr>
                <w:rFonts w:ascii="Arial" w:cs="Arial" w:eastAsia="Arial" w:hAnsi="Arial"/>
                <w:color w:val="AABCCE"/>
                <w:sz w:val="16"/>
                <w:szCs w:val="16"/>
              </w:rPr>
              <w:t xml:space="preserve">Private Label Share</w:t>
            </w:r>
          </w:p>
        </w:tc>
        <w:tc>
          <w:tcPr>
            <w:tcW w:type="dxa" w:w="2340"/>
            <w:tcBorders>
              <w:top w:val="single" w:color="2E75B6" w:sz="1"/>
              <w:left w:val="single" w:color="2E75B6" w:sz="1"/>
              <w:bottom w:val="single" w:color="2E75B6" w:sz="1"/>
              <w:right w:val="single" w:color="2E75B6" w:sz="1"/>
            </w:tcBorders>
            <w:shd w:fill="0D1B2A" w:val="clear"/>
            <w:tcMar>
              <w:top w:type="dxa" w:w="140"/>
              <w:left w:type="dxa" w:w="160"/>
              <w:bottom w:type="dxa" w:w="140"/>
              <w:right w:type="dxa" w:w="160"/>
            </w:tcMar>
            <w:vAlign w:val="center"/>
          </w:tcPr>
          <w:p>
            <w:pPr>
              <w:spacing w:after="20" w:before="40"/>
              <w:jc w:val="center"/>
            </w:pPr>
            <w:r>
              <w:rPr>
                <w:rFonts w:ascii="Arial" w:cs="Arial" w:eastAsia="Arial" w:hAnsi="Arial"/>
                <w:b/>
                <w:bCs/>
                <w:color w:val="FFFFFF"/>
                <w:sz w:val="44"/>
                <w:szCs w:val="44"/>
              </w:rPr>
              <w:t xml:space="preserve">17.6%</w:t>
            </w:r>
          </w:p>
          <w:p>
            <w:pPr>
              <w:spacing w:after="40" w:before="0"/>
              <w:jc w:val="center"/>
            </w:pPr>
            <w:r>
              <w:rPr>
                <w:rFonts w:ascii="Arial" w:cs="Arial" w:eastAsia="Arial" w:hAnsi="Arial"/>
                <w:color w:val="AABCCE"/>
                <w:sz w:val="16"/>
                <w:szCs w:val="16"/>
              </w:rPr>
              <w:t xml:space="preserve">Avg Discount Rate</w:t>
            </w:r>
          </w:p>
        </w:tc>
      </w:tr>
    </w:tbl>
    <w:p>
      <w:pPr>
        <w:spacing w:after="0" w:before="280"/>
      </w:pPr>
      <w:r>
        <w:t xml:space="preserve"/>
      </w:r>
    </w:p>
    <w:p>
      <w:pPr>
        <w:spacing w:after="40" w:before="0"/>
        <w:jc w:val="center"/>
      </w:pPr>
      <w:r>
        <w:rPr>
          <w:rFonts w:ascii="Arial" w:cs="Arial" w:eastAsia="Arial" w:hAnsi="Arial"/>
          <w:b/>
          <w:bCs/>
          <w:color w:val="0D1B2A"/>
          <w:sz w:val="30"/>
          <w:szCs w:val="30"/>
        </w:rPr>
        <w:t xml:space="preserve">Ujwal Amin</w:t>
      </w:r>
    </w:p>
    <w:p>
      <w:pPr>
        <w:spacing w:after="40" w:before="0"/>
        <w:jc w:val="center"/>
      </w:pPr>
      <w:r>
        <w:rPr>
          <w:rFonts w:ascii="Arial" w:cs="Arial" w:eastAsia="Arial" w:hAnsi="Arial"/>
          <w:i/>
          <w:iCs/>
          <w:color w:val="555555"/>
          <w:sz w:val="22"/>
          <w:szCs w:val="22"/>
        </w:rPr>
        <w:t xml:space="preserve">Data Operations Analyst</w:t>
      </w:r>
    </w:p>
    <w:p>
      <w:pPr>
        <w:spacing w:after="40" w:before="0"/>
        <w:jc w:val="center"/>
      </w:pPr>
      <w:r>
        <w:rPr>
          <w:rFonts w:ascii="Arial" w:cs="Arial" w:eastAsia="Arial" w:hAnsi="Arial"/>
          <w:color w:val="555555"/>
          <w:sz w:val="22"/>
          <w:szCs w:val="22"/>
        </w:rPr>
        <w:t xml:space="preserve">May 2026</w:t>
      </w:r>
    </w:p>
    <w:p>
      <w:pPr>
        <w:spacing w:after="0" w:before="0"/>
        <w:jc w:val="center"/>
      </w:pPr>
      <w:r>
        <w:rPr>
          <w:rFonts w:ascii="Arial" w:cs="Arial" w:eastAsia="Arial" w:hAnsi="Arial"/>
          <w:i/>
          <w:iCs/>
          <w:color w:val="888888"/>
          <w:sz w:val="20"/>
          <w:szCs w:val="20"/>
        </w:rPr>
        <w:t xml:space="preserve">Dataset: Dunnhumby Complete Journey  |  Tools: Excel · Power BI</w:t>
      </w:r>
    </w:p>
    <w:p>
      <w:r>
        <w:br w:type="page"/>
      </w:r>
    </w:p>
    <w:p>
      <w:pPr>
        <w:pStyle w:val="Heading1"/>
        <w:shd w:fill="1F4E79" w:val="clear"/>
        <w:spacing w:after="160" w:before="320"/>
        <w:ind w:left="200" w:right="200"/>
      </w:pPr>
      <w:r>
        <w:rPr>
          <w:rFonts w:ascii="Arial" w:cs="Arial" w:eastAsia="Arial" w:hAnsi="Arial"/>
          <w:b/>
          <w:bCs/>
          <w:color w:val="FFFFFF"/>
          <w:sz w:val="32"/>
          <w:szCs w:val="32"/>
        </w:rPr>
        <w:t xml:space="preserve">Executive Summary</w:t>
      </w:r>
    </w:p>
    <w:p>
      <w:pPr>
        <w:spacing w:after="0" w:before="80"/>
      </w:pPr>
      <w:r>
        <w:t xml:space="preserve"/>
      </w:r>
    </w:p>
    <w:p>
      <w:pPr>
        <w:spacing w:after="80" w:before="80"/>
      </w:pPr>
      <w:r>
        <w:rPr>
          <w:rFonts w:ascii="Arial" w:cs="Arial" w:eastAsia="Arial" w:hAnsi="Arial"/>
          <w:color w:val="2C2C2C"/>
          <w:sz w:val="22"/>
          <w:szCs w:val="22"/>
        </w:rPr>
        <w:t xml:space="preserve">This report presents an end-to-end FMCG market intelligence analysis on real consumer transaction data from the Dunnhumby Complete Journey dataset — replicating the type of market measurement and brand performance analysis that leading market research firms deliver to CPG clients.</w:t>
      </w:r>
    </w:p>
    <w:p>
      <w:pPr>
        <w:spacing w:after="0" w:before="80"/>
      </w:pPr>
      <w:r>
        <w:t xml:space="preserve"/>
      </w:r>
    </w:p>
    <w:p>
      <w:pPr>
        <w:spacing w:after="80" w:before="80"/>
      </w:pPr>
      <w:r>
        <w:rPr>
          <w:rFonts w:ascii="Arial" w:cs="Arial" w:eastAsia="Arial" w:hAnsi="Arial"/>
          <w:color w:val="2C2C2C"/>
          <w:sz w:val="22"/>
          <w:szCs w:val="22"/>
        </w:rPr>
        <w:t xml:space="preserve">The analysis examined 48 weeks of grocery purchase data from 5,000 US Kroger households across multiple FMCG categories. The central business question:</w:t>
      </w:r>
    </w:p>
    <w:p>
      <w:pPr>
        <w:spacing w:after="0" w:before="60"/>
      </w:pPr>
      <w:r>
        <w:t xml:space="preserve"/>
      </w:r>
    </w:p>
    <w:p>
      <w:pPr>
        <w:pBdr>
          <w:left w:val="single" w:color="2E75B6" w:sz="14" w:space="8"/>
        </w:pBdr>
        <w:shd w:fill="EBF3FB" w:val="clear"/>
        <w:spacing w:after="140" w:before="140"/>
        <w:ind w:left="560" w:right="560"/>
      </w:pPr>
      <w:r>
        <w:rPr>
          <w:rFonts w:ascii="Arial" w:cs="Arial" w:eastAsia="Arial" w:hAnsi="Arial"/>
          <w:i/>
          <w:iCs/>
          <w:color w:val="1A1A2E"/>
          <w:sz w:val="22"/>
          <w:szCs w:val="22"/>
        </w:rPr>
        <w:t xml:space="preserve">“Where are National Brands winning — and where are Private Labels quietly taking over?”</w:t>
      </w:r>
    </w:p>
    <w:p>
      <w:pPr>
        <w:spacing w:after="0" w:before="80"/>
      </w:pPr>
      <w:r>
        <w:t xml:space="preserve"/>
      </w:r>
    </w:p>
    <w:p>
      <w:pPr>
        <w:spacing w:after="80" w:before="80"/>
      </w:pPr>
      <w:r>
        <w:rPr>
          <w:rFonts w:ascii="Arial" w:cs="Arial" w:eastAsia="Arial" w:hAnsi="Arial"/>
          <w:color w:val="2C2C2C"/>
          <w:sz w:val="22"/>
          <w:szCs w:val="22"/>
        </w:rPr>
        <w:t xml:space="preserve">The findings reveal that while National Brands command 72.97% overall market share, Private Labels are aggressively winning in Packaged Seafood (64.69%) and Pastry (52.14%) — categories where consumer price sensitivity is highest. An average promotional discount rate of 17.6% signals an active price war. Critically, National Brands are discounting hardest in the exact departments they are losing — a defensive tactic that may sustain short-term volume but may erode long-term brand equity and margin.</w:t>
      </w:r>
    </w:p>
    <w:p>
      <w:pPr>
        <w:spacing w:after="0" w:before="160"/>
      </w:pPr>
      <w:r>
        <w:t xml:space="preserve"/>
      </w:r>
    </w:p>
    <w:p>
      <w:pPr>
        <w:pStyle w:val="Heading1"/>
        <w:shd w:fill="1F4E79" w:val="clear"/>
        <w:spacing w:after="160" w:before="320"/>
        <w:ind w:left="200" w:right="200"/>
      </w:pPr>
      <w:r>
        <w:rPr>
          <w:rFonts w:ascii="Arial" w:cs="Arial" w:eastAsia="Arial" w:hAnsi="Arial"/>
          <w:b/>
          <w:bCs/>
          <w:color w:val="FFFFFF"/>
          <w:sz w:val="32"/>
          <w:szCs w:val="32"/>
        </w:rPr>
        <w:t xml:space="preserve">Key Findings &amp; Analysis</w:t>
      </w:r>
    </w:p>
    <w:p>
      <w:pPr>
        <w:spacing w:after="0" w:before="80"/>
      </w:pPr>
      <w:r>
        <w:t xml:space="preserve"/>
      </w:r>
    </w:p>
    <w:p>
      <w:pPr>
        <w:pStyle w:val="Heading2"/>
        <w:pBdr>
          <w:bottom w:val="single" w:color="2E75B6" w:sz="4" w:space="4"/>
        </w:pBdr>
        <w:spacing w:after="100" w:before="280"/>
      </w:pPr>
      <w:r>
        <w:rPr>
          <w:rFonts w:ascii="Arial" w:cs="Arial" w:eastAsia="Arial" w:hAnsi="Arial"/>
          <w:b/>
          <w:bCs/>
          <w:color w:val="1F4E79"/>
          <w:sz w:val="26"/>
          <w:szCs w:val="26"/>
        </w:rPr>
        <w:t xml:space="preserve">Finding 1 — Overall Market Share</w:t>
      </w:r>
    </w:p>
    <w:p>
      <w:pPr>
        <w:spacing w:after="80" w:before="80"/>
      </w:pPr>
      <w:r>
        <w:rPr>
          <w:rFonts w:ascii="Arial" w:cs="Arial" w:eastAsia="Arial" w:hAnsi="Arial"/>
          <w:color w:val="2C2C2C"/>
          <w:sz w:val="22"/>
          <w:szCs w:val="22"/>
        </w:rPr>
        <w:t xml:space="preserve">National Brands hold a commanding 72.97% of total recorded sales value, with Private Labels accounting for the remaining 27.03%. While this indicates clear National Brand dominance at the aggregate level, the department-level breakdown tells a far more nuanced story.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National Brand Share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72.97% — Dominant Position Overall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Private Label Share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27.03% — Winning in Key Departments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Avg Discount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17.6% — Defensive Price War in Progress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Total Market Size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$3.2M — 5,000 Households · 48 Weeks</w:t>
            </w:r>
          </w:p>
        </w:tc>
      </w:tr>
    </w:tbl>
    <w:p>
      <w:pPr>
        <w:spacing w:after="0" w:before="160"/>
      </w:pPr>
      <w:r>
        <w:t xml:space="preserve"/>
      </w:r>
    </w:p>
    <w:p>
      <w:pPr>
        <w:pStyle w:val="Heading2"/>
        <w:pBdr>
          <w:bottom w:val="single" w:color="2E75B6" w:sz="4" w:space="4"/>
        </w:pBdr>
        <w:spacing w:after="100" w:before="280"/>
      </w:pPr>
      <w:r>
        <w:rPr>
          <w:rFonts w:ascii="Arial" w:cs="Arial" w:eastAsia="Arial" w:hAnsi="Arial"/>
          <w:b/>
          <w:bCs/>
          <w:color w:val="1F4E79"/>
          <w:sz w:val="26"/>
          <w:szCs w:val="26"/>
        </w:rPr>
        <w:t xml:space="preserve">Finding 2 — The Battleground Departments</w:t>
      </w:r>
    </w:p>
    <w:p>
      <w:pPr>
        <w:spacing w:after="80" w:before="80"/>
      </w:pPr>
      <w:r>
        <w:rPr>
          <w:rFonts w:ascii="Arial" w:cs="Arial" w:eastAsia="Arial" w:hAnsi="Arial"/>
          <w:color w:val="2C2C2C"/>
          <w:sz w:val="22"/>
          <w:szCs w:val="22"/>
        </w:rPr>
        <w:t xml:space="preserve">Department-level analysis reveals where Private Labels pose the strongest structural threat to National Brands. The five most competitive departments: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rPr>
          <w:tblHeader/>
        </w:trPr>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National Brand %</w:t>
            </w:r>
          </w:p>
        </w:tc>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Private Label %</w:t>
            </w:r>
          </w:p>
        </w:tc>
      </w:tr>
      <w:tr>
        <w:tc>
          <w:tcPr>
            <w:tcW w:type="dxa" w:w="4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BF4000"/>
                <w:sz w:val="20"/>
                <w:szCs w:val="20"/>
              </w:rPr>
              <w:t xml:space="preserve">SEAFOOD — PACKAGED</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BF4000"/>
                <w:sz w:val="20"/>
                <w:szCs w:val="20"/>
              </w:rPr>
              <w:t xml:space="preserve">35.31%</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BF4000"/>
                <w:sz w:val="20"/>
                <w:szCs w:val="20"/>
              </w:rPr>
              <w:t xml:space="preserve">64.69%</w:t>
            </w:r>
          </w:p>
        </w:tc>
      </w:tr>
      <w:tr>
        <w:tc>
          <w:tcPr>
            <w:tcW w:type="dxa" w:w="4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BF4000"/>
                <w:sz w:val="20"/>
                <w:szCs w:val="20"/>
              </w:rPr>
              <w:t xml:space="preserve">PASTRY</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BF4000"/>
                <w:sz w:val="20"/>
                <w:szCs w:val="20"/>
              </w:rPr>
              <w:t xml:space="preserve">47.86%</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BF4000"/>
                <w:sz w:val="20"/>
                <w:szCs w:val="20"/>
              </w:rPr>
              <w:t xml:space="preserve">52.14%</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GROCERY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73.12%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26.88%</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DELI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76.93%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23.07%</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MEAT — PACKAGED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79.03%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20.97%</w:t>
            </w:r>
          </w:p>
        </w:tc>
      </w:tr>
    </w:tbl>
    <w:p>
      <w:pPr>
        <w:spacing w:after="0" w:before="100"/>
      </w:pPr>
      <w:r>
        <w:t xml:space="preserve"/>
      </w:r>
    </w:p>
    <w:p>
      <w:pPr>
        <w:spacing w:after="80" w:before="80"/>
      </w:pPr>
      <w:r>
        <w:rPr>
          <w:rFonts w:ascii="Arial" w:cs="Arial" w:eastAsia="Arial" w:hAnsi="Arial"/>
          <w:color w:val="2C2C2C"/>
          <w:sz w:val="22"/>
          <w:szCs w:val="22"/>
        </w:rPr>
        <w:t xml:space="preserve">Packaged Seafood is the most critical vulnerability — Private Labels have completely reversed the market dynamic, commanding nearly 65% of sales. Pastry is the closest battleground at near parity (52% vs 48%), signalling a category in active transition. Highlighted rows indicate departments where National Brands have lost or are close to losing majority share.</w:t>
      </w:r>
    </w:p>
    <w:p>
      <w:pPr>
        <w:spacing w:after="0" w:before="160"/>
      </w:pPr>
      <w:r>
        <w:t xml:space="preserve"/>
      </w:r>
    </w:p>
    <w:p>
      <w:pPr>
        <w:pStyle w:val="Heading2"/>
        <w:pBdr>
          <w:bottom w:val="single" w:color="2E75B6" w:sz="4" w:space="4"/>
        </w:pBdr>
        <w:spacing w:after="100" w:before="280"/>
      </w:pPr>
      <w:r>
        <w:rPr>
          <w:rFonts w:ascii="Arial" w:cs="Arial" w:eastAsia="Arial" w:hAnsi="Arial"/>
          <w:b/>
          <w:bCs/>
          <w:color w:val="1F4E79"/>
          <w:sz w:val="26"/>
          <w:szCs w:val="26"/>
        </w:rPr>
        <w:t xml:space="preserve">Finding 3 — The Discount War</w:t>
      </w:r>
    </w:p>
    <w:p>
      <w:pPr>
        <w:spacing w:after="80" w:before="80"/>
      </w:pPr>
      <w:r>
        <w:rPr>
          <w:rFonts w:ascii="Arial" w:cs="Arial" w:eastAsia="Arial" w:hAnsi="Arial"/>
          <w:color w:val="2C2C2C"/>
          <w:sz w:val="22"/>
          <w:szCs w:val="22"/>
        </w:rPr>
        <w:t xml:space="preserve">An average promotional discount rate of 17.6% indicates National Brands are aggressively defending shelf position through price reductions. This is a critical signal: heavy discounting may sustain short-term volume but may erode long-term brand equity and margin.</w:t>
      </w:r>
    </w:p>
    <w:p>
      <w:pPr>
        <w:spacing w:after="0" w:before="80"/>
      </w:pPr>
      <w:r>
        <w:t xml:space="preserve"/>
      </w:r>
    </w:p>
    <w:p>
      <w:pPr>
        <w:spacing w:after="80" w:before="80"/>
      </w:pPr>
      <w:r>
        <w:rPr>
          <w:rFonts w:ascii="Arial" w:cs="Arial" w:eastAsia="Arial" w:hAnsi="Arial"/>
          <w:color w:val="2C2C2C"/>
          <w:sz w:val="22"/>
          <w:szCs w:val="22"/>
        </w:rPr>
        <w:t xml:space="preserve">Department-level discount analysis reveals that Packaged Seafood and Pastry — the same departments where Private Labels are winning — also exhibit the highest discount intensity from National Brands. This confirms that National Brands are using price promotion as a defensive mechanism in their most vulnerable categories. The discounting is not reversing Private Label growth. It is compounding margin loss.</w:t>
      </w:r>
    </w:p>
    <w:p>
      <w:pPr>
        <w:spacing w:after="0" w:before="160"/>
      </w:pPr>
      <w:r>
        <w:t xml:space="preserve"/>
      </w:r>
    </w:p>
    <w:p>
      <w:pPr>
        <w:pStyle w:val="Heading2"/>
        <w:pBdr>
          <w:bottom w:val="single" w:color="2E75B6" w:sz="4" w:space="4"/>
        </w:pBdr>
        <w:spacing w:after="100" w:before="280"/>
      </w:pPr>
      <w:r>
        <w:rPr>
          <w:rFonts w:ascii="Arial" w:cs="Arial" w:eastAsia="Arial" w:hAnsi="Arial"/>
          <w:b/>
          <w:bCs/>
          <w:color w:val="1F4E79"/>
          <w:sz w:val="26"/>
          <w:szCs w:val="26"/>
        </w:rPr>
        <w:t xml:space="preserve">Finding 4 — Weekly Sales Trend</w:t>
      </w:r>
    </w:p>
    <w:p>
      <w:pPr>
        <w:spacing w:after="80" w:before="80"/>
      </w:pPr>
      <w:r>
        <w:rPr>
          <w:rFonts w:ascii="Arial" w:cs="Arial" w:eastAsia="Arial" w:hAnsi="Arial"/>
          <w:color w:val="2C2C2C"/>
          <w:sz w:val="22"/>
          <w:szCs w:val="22"/>
        </w:rPr>
        <w:t xml:space="preserve">The 48-week trend line confirms consistent National Brand dominance in absolute sales volume throughout the period. However, Private Label sales show a gradual upward trajectory, narrowing the gap incrementally week on week.</w:t>
      </w:r>
    </w:p>
    <w:p>
      <w:pPr>
        <w:spacing w:after="0" w:before="80"/>
      </w:pPr>
      <w:r>
        <w:t xml:space="preserve"/>
      </w:r>
    </w:p>
    <w:p>
      <w:pPr>
        <w:spacing w:after="80" w:before="80"/>
      </w:pPr>
      <w:r>
        <w:rPr>
          <w:rFonts w:ascii="Arial" w:cs="Arial" w:eastAsia="Arial" w:hAnsi="Arial"/>
          <w:color w:val="2C2C2C"/>
          <w:sz w:val="22"/>
          <w:szCs w:val="22"/>
        </w:rPr>
        <w:t xml:space="preserve">A data anomaly was identified at Week 48 where incomplete transaction data caused an artificial sales drop. This was isolated, flagged with a dashboard annotation, and excluded from all trend calculations.</w:t>
      </w:r>
    </w:p>
    <w:p>
      <w:pPr>
        <w:spacing w:after="0" w:before="120"/>
      </w:pPr>
      <w:r>
        <w:t xml:space="preserve"/>
      </w:r>
    </w:p>
    <w:p>
      <w:pPr>
        <w:pStyle w:val="Heading2"/>
        <w:pBdr>
          <w:bottom w:val="single" w:color="2E75B6" w:sz="4" w:space="4"/>
        </w:pBdr>
        <w:spacing w:after="100" w:before="280"/>
      </w:pPr>
      <w:r>
        <w:rPr>
          <w:rFonts w:ascii="Arial" w:cs="Arial" w:eastAsia="Arial" w:hAnsi="Arial"/>
          <w:b/>
          <w:bCs/>
          <w:color w:val="1F4E79"/>
          <w:sz w:val="26"/>
          <w:szCs w:val="26"/>
        </w:rPr>
        <w:t xml:space="preserve">Analyst Interpretation</w:t>
      </w:r>
    </w:p>
    <w:p>
      <w:pPr>
        <w:spacing w:after="0" w:before="60"/>
      </w:pPr>
      <w:r>
        <w:t xml:space="preserve"/>
      </w:r>
    </w:p>
    <w:p>
      <w:pPr>
        <w:pBdr>
          <w:left w:val="single" w:color="2E75B6" w:sz="14" w:space="8"/>
        </w:pBdr>
        <w:shd w:fill="EBF3FB" w:val="clear"/>
        <w:spacing w:after="140" w:before="140"/>
        <w:ind w:left="560" w:right="560"/>
      </w:pPr>
      <w:r>
        <w:rPr>
          <w:rFonts w:ascii="Arial" w:cs="Arial" w:eastAsia="Arial" w:hAnsi="Arial"/>
          <w:i/>
          <w:iCs/>
          <w:color w:val="1A1A2E"/>
          <w:sz w:val="22"/>
          <w:szCs w:val="22"/>
        </w:rPr>
        <w:t xml:space="preserve">“While National Brands hold 73% share overall, Private Labels are aggressively winning in Packaged Seafood (65%) and Pastry (52%) — signalling a structural consumer shift toward Private Labels in fresh and value-driven categories. Brands discounting at 17.6% are buying share, not building it.”</w:t>
      </w:r>
    </w:p>
    <w:p>
      <w:pPr>
        <w:spacing w:after="0" w:before="160"/>
      </w:pPr>
      <w:r>
        <w:t xml:space="preserve"/>
      </w:r>
    </w:p>
    <w:p>
      <w:pPr>
        <w:pStyle w:val="Heading1"/>
        <w:shd w:fill="1F4E79" w:val="clear"/>
        <w:spacing w:after="160" w:before="320"/>
        <w:ind w:left="200" w:right="200"/>
      </w:pPr>
      <w:r>
        <w:rPr>
          <w:rFonts w:ascii="Arial" w:cs="Arial" w:eastAsia="Arial" w:hAnsi="Arial"/>
          <w:b/>
          <w:bCs/>
          <w:color w:val="FFFFFF"/>
          <w:sz w:val="32"/>
          <w:szCs w:val="32"/>
        </w:rPr>
        <w:t xml:space="preserve">Business Problem</w:t>
      </w:r>
    </w:p>
    <w:p>
      <w:pPr>
        <w:spacing w:after="0" w:before="80"/>
      </w:pPr>
      <w:r>
        <w:t xml:space="preserve"/>
      </w:r>
    </w:p>
    <w:p>
      <w:pPr>
        <w:spacing w:after="80" w:before="80"/>
      </w:pPr>
      <w:r>
        <w:rPr>
          <w:rFonts w:ascii="Arial" w:cs="Arial" w:eastAsia="Arial" w:hAnsi="Arial"/>
          <w:color w:val="2C2C2C"/>
          <w:sz w:val="22"/>
          <w:szCs w:val="22"/>
        </w:rPr>
        <w:t xml:space="preserve">Consumer Packaged Goods (CPG) brands operating in modern retail face a growing and often invisible threat — Private Label products. Unlike competitor brands, Private Labels are owned and promoted by the retailer itself, giving them a significant shelf positioning and pricing advantage.</w:t>
      </w:r>
    </w:p>
    <w:p>
      <w:pPr>
        <w:spacing w:after="0" w:before="80"/>
      </w:pPr>
      <w:r>
        <w:t xml:space="preserve"/>
      </w:r>
    </w:p>
    <w:p>
      <w:pPr>
        <w:spacing w:after="80" w:before="80"/>
      </w:pPr>
      <w:r>
        <w:rPr>
          <w:rFonts w:ascii="Arial" w:cs="Arial" w:eastAsia="Arial" w:hAnsi="Arial"/>
          <w:color w:val="2C2C2C"/>
          <w:sz w:val="22"/>
          <w:szCs w:val="22"/>
        </w:rPr>
        <w:t xml:space="preserve">The core business problem this project addresses:</w:t>
      </w:r>
    </w:p>
    <w:p>
      <w:pPr>
        <w:spacing w:after="0" w:before="60"/>
      </w:pPr>
      <w:r>
        <w:t xml:space="preserve"/>
      </w:r>
    </w:p>
    <w:p>
      <w:pPr>
        <w:pBdr>
          <w:left w:val="single" w:color="2E75B6" w:sz="14" w:space="8"/>
        </w:pBdr>
        <w:shd w:fill="EBF3FB" w:val="clear"/>
        <w:spacing w:after="140" w:before="140"/>
        <w:ind w:left="560" w:right="560"/>
      </w:pPr>
      <w:r>
        <w:rPr>
          <w:rFonts w:ascii="Arial" w:cs="Arial" w:eastAsia="Arial" w:hAnsi="Arial"/>
          <w:i/>
          <w:iCs/>
          <w:color w:val="1A1A2E"/>
          <w:sz w:val="22"/>
          <w:szCs w:val="22"/>
        </w:rPr>
        <w:t xml:space="preserve">“CPG brands do not know exactly which departments they are losing to Private Labels, how fast that loss is happening, and whether their promotional discounts are defending market share or simply eroding margin.”</w:t>
      </w:r>
    </w:p>
    <w:p>
      <w:pPr>
        <w:spacing w:after="0" w:before="80"/>
      </w:pPr>
      <w:r>
        <w:t xml:space="preserve"/>
      </w:r>
    </w:p>
    <w:p>
      <w:pPr>
        <w:spacing w:after="80" w:before="80"/>
      </w:pPr>
      <w:r>
        <w:rPr>
          <w:rFonts w:ascii="Arial" w:cs="Arial" w:eastAsia="Arial" w:hAnsi="Arial"/>
          <w:color w:val="2C2C2C"/>
          <w:sz w:val="22"/>
          <w:szCs w:val="22"/>
        </w:rPr>
        <w:t xml:space="preserve">Without this intelligence, brand managers make pricing and promotional decisions blindly. They discount without knowing if it is working. They defend the wrong categories. They miss the early signals of a Private Label takeover before it is too late.</w:t>
      </w:r>
    </w:p>
    <w:p>
      <w:pPr>
        <w:spacing w:after="0" w:before="80"/>
      </w:pPr>
      <w:r>
        <w:t xml:space="preserve"/>
      </w:r>
    </w:p>
    <w:p>
      <w:pPr>
        <w:spacing w:after="80" w:before="80"/>
      </w:pPr>
      <w:r>
        <w:rPr>
          <w:rFonts w:ascii="Arial" w:cs="Arial" w:eastAsia="Arial" w:hAnsi="Arial"/>
          <w:color w:val="2C2C2C"/>
          <w:sz w:val="22"/>
          <w:szCs w:val="22"/>
        </w:rPr>
        <w:t xml:space="preserve">This project addresses three specific questions CPG clients bring to market research firms: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2C2C2C"/>
          <w:sz w:val="22"/>
          <w:szCs w:val="22"/>
        </w:rPr>
        <w:t xml:space="preserve">Where exactly is Private Label winning and losing against National Brands — at the department level?</w:t>
      </w:r>
    </w:p>
    <w:p>
      <w:pPr>
        <w:pStyle w:val="ListParagraph"/>
        <w:numPr>
          <w:ilvl w:val="0"/>
          <w:numId w:val="2"/>
        </w:numPr>
        <w:spacing w:after="60" w:before="60"/>
      </w:pPr>
      <w:r>
        <w:rPr>
          <w:rFonts w:ascii="Arial" w:cs="Arial" w:eastAsia="Arial" w:hAnsi="Arial"/>
          <w:b w:val="false"/>
          <w:bCs w:val="false"/>
          <w:color w:val="2C2C2C"/>
          <w:sz w:val="22"/>
          <w:szCs w:val="22"/>
        </w:rPr>
        <w:t xml:space="preserve">How intensely are National Brands discounting to defend their position — and is it working?</w:t>
      </w:r>
    </w:p>
    <w:p>
      <w:pPr>
        <w:pStyle w:val="ListParagraph"/>
        <w:numPr>
          <w:ilvl w:val="0"/>
          <w:numId w:val="2"/>
        </w:numPr>
        <w:spacing w:after="60" w:before="60"/>
      </w:pPr>
      <w:r>
        <w:rPr>
          <w:rFonts w:ascii="Arial" w:cs="Arial" w:eastAsia="Arial" w:hAnsi="Arial"/>
          <w:b w:val="false"/>
          <w:bCs w:val="false"/>
          <w:color w:val="2C2C2C"/>
          <w:sz w:val="22"/>
          <w:szCs w:val="22"/>
        </w:rPr>
        <w:t xml:space="preserve">Is the Private Label threat growing week on week or has it plateaued?</w:t>
      </w:r>
    </w:p>
    <w:p>
      <w:pPr>
        <w:spacing w:after="0" w:before="160"/>
      </w:pPr>
      <w:r>
        <w:t xml:space="preserve"/>
      </w:r>
    </w:p>
    <w:p>
      <w:pPr>
        <w:pStyle w:val="Heading1"/>
        <w:shd w:fill="1F4E79" w:val="clear"/>
        <w:spacing w:after="160" w:before="320"/>
        <w:ind w:left="200" w:right="200"/>
      </w:pPr>
      <w:r>
        <w:rPr>
          <w:rFonts w:ascii="Arial" w:cs="Arial" w:eastAsia="Arial" w:hAnsi="Arial"/>
          <w:b/>
          <w:bCs/>
          <w:color w:val="FFFFFF"/>
          <w:sz w:val="32"/>
          <w:szCs w:val="32"/>
        </w:rPr>
        <w:t xml:space="preserve">Project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Dunnhumby Complete Journey (Public)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Source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Kaggle — Released by 84.51° / Kroger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United States of America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Retailer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Kroger — Largest US Supermarket Chain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Households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5,000 Loyal Kroger Shoppers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Time Period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48 Weeks (Approx. 1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Total Sales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$3.2M Recorded Transaction Value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Categories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Grocery, Dairy, Deli, Meat, Seafood, Pastry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Tools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Microsoft Excel, Power BI Desktop</w:t>
            </w:r>
          </w:p>
        </w:tc>
      </w:tr>
    </w:tbl>
    <w:p>
      <w:pPr>
        <w:spacing w:after="0" w:before="160"/>
      </w:pPr>
      <w:r>
        <w:t xml:space="preserve"/>
      </w:r>
    </w:p>
    <w:p>
      <w:pPr>
        <w:pStyle w:val="Heading1"/>
        <w:shd w:fill="1F4E79" w:val="clear"/>
        <w:spacing w:after="160" w:before="320"/>
        <w:ind w:left="200" w:right="200"/>
      </w:pPr>
      <w:r>
        <w:rPr>
          <w:rFonts w:ascii="Arial" w:cs="Arial" w:eastAsia="Arial" w:hAnsi="Arial"/>
          <w:b/>
          <w:bCs/>
          <w:color w:val="FFFFFF"/>
          <w:sz w:val="32"/>
          <w:szCs w:val="32"/>
        </w:rPr>
        <w:t xml:space="preserve">Data Preparation — Microsoft Excel</w:t>
      </w:r>
    </w:p>
    <w:p>
      <w:pPr>
        <w:spacing w:after="0" w:before="80"/>
      </w:pPr>
      <w:r>
        <w:t xml:space="preserve"/>
      </w:r>
    </w:p>
    <w:p>
      <w:pPr>
        <w:spacing w:after="80" w:before="80"/>
      </w:pPr>
      <w:r>
        <w:rPr>
          <w:rFonts w:ascii="Arial" w:cs="Arial" w:eastAsia="Arial" w:hAnsi="Arial"/>
          <w:color w:val="2C2C2C"/>
          <w:sz w:val="22"/>
          <w:szCs w:val="22"/>
        </w:rPr>
        <w:t xml:space="preserve">Three source files from the Dunnhumby dataset were processed and enriched in Excel before analysis: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transaction_data.csv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Every household purchase — product ID, quantity, sales value, week number, retail discount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product.csv</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Product master — brand type, category, department, manufacturer per UPC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hh_demographic.csv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Household profile — income bracket, family size, homeowner status</w:t>
            </w:r>
          </w:p>
        </w:tc>
      </w:tr>
    </w:tbl>
    <w:p>
      <w:pPr>
        <w:spacing w:after="0" w:before="120"/>
      </w:pPr>
      <w:r>
        <w:t xml:space="preserve"/>
      </w:r>
    </w:p>
    <w:p>
      <w:pPr>
        <w:spacing w:after="60" w:before="180"/>
      </w:pPr>
      <w:r>
        <w:rPr>
          <w:rFonts w:ascii="Arial" w:cs="Arial" w:eastAsia="Arial" w:hAnsi="Arial"/>
          <w:b/>
          <w:bCs/>
          <w:color w:val="1A1A2E"/>
          <w:sz w:val="22"/>
          <w:szCs w:val="22"/>
        </w:rPr>
        <w:t xml:space="preserve">Data Enrichment</w:t>
      </w:r>
    </w:p>
    <w:p>
      <w:pPr>
        <w:spacing w:after="80" w:before="80"/>
      </w:pPr>
      <w:r>
        <w:rPr>
          <w:rFonts w:ascii="Arial" w:cs="Arial" w:eastAsia="Arial" w:hAnsi="Arial"/>
          <w:color w:val="2C2C2C"/>
          <w:sz w:val="22"/>
          <w:szCs w:val="22"/>
        </w:rPr>
        <w:t xml:space="preserve">Transaction data contained only numeric product IDs with no brand or category attributes. VLOOKUP was applied to enrich each transaction with brand type, category, and department from the product master — making category-level market share analysis possible.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Added</w:t>
            </w:r>
          </w:p>
        </w:tc>
        <w:tc>
          <w:tcPr>
            <w:tcW w:type="dxa" w:w="4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Brings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BRAND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=VLOOKUP(D2,[product.csv]Sheet1!$A:$G,4,0)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National or Private Label flag per product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CATEGORY</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=VLOOKUP(D2,[product.csv]Sheet1!$A:$G,5,0)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Commodity category (e.g. Soft Drinks)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DEPARTMENT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=VLOOKUP(D2,[product.csv]Sheet1!$A:$G,3,0)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Store department (e.g. Grocery, Deli, Pastry)</w:t>
            </w:r>
          </w:p>
        </w:tc>
      </w:tr>
    </w:tbl>
    <w:p>
      <w:pPr>
        <w:spacing w:after="0" w:before="120"/>
      </w:pPr>
      <w:r>
        <w:t xml:space="preserve"/>
      </w:r>
    </w:p>
    <w:p>
      <w:pPr>
        <w:spacing w:after="60" w:before="180"/>
      </w:pPr>
      <w:r>
        <w:rPr>
          <w:rFonts w:ascii="Arial" w:cs="Arial" w:eastAsia="Arial" w:hAnsi="Arial"/>
          <w:b/>
          <w:bCs/>
          <w:color w:val="1A1A2E"/>
          <w:sz w:val="22"/>
          <w:szCs w:val="22"/>
        </w:rPr>
        <w:t xml:space="preserve">Calculated Columns</w:t>
      </w:r>
    </w:p>
    <w:p>
      <w:pPr>
        <w:pStyle w:val="ListParagraph"/>
        <w:numPr>
          <w:ilvl w:val="0"/>
          <w:numId w:val="2"/>
        </w:numPr>
        <w:spacing w:after="60" w:before="60"/>
      </w:pPr>
      <w:r>
        <w:rPr>
          <w:rFonts w:ascii="Arial" w:cs="Arial" w:eastAsia="Arial" w:hAnsi="Arial"/>
          <w:b w:val="false"/>
          <w:bCs w:val="false"/>
          <w:color w:val="2C2C2C"/>
          <w:sz w:val="22"/>
          <w:szCs w:val="22"/>
        </w:rPr>
        <w:t xml:space="preserve">Discount % = ABS(RETAIL_DISC) / SALES_VALUE × 100 — converts negative discount values to positive percentage</w:t>
      </w:r>
    </w:p>
    <w:p>
      <w:pPr>
        <w:pStyle w:val="ListParagraph"/>
        <w:numPr>
          <w:ilvl w:val="0"/>
          <w:numId w:val="2"/>
        </w:numPr>
        <w:spacing w:after="60" w:before="60"/>
      </w:pPr>
      <w:r>
        <w:rPr>
          <w:rFonts w:ascii="Arial" w:cs="Arial" w:eastAsia="Arial" w:hAnsi="Arial"/>
          <w:b w:val="false"/>
          <w:bCs w:val="false"/>
          <w:color w:val="2C2C2C"/>
          <w:sz w:val="22"/>
          <w:szCs w:val="22"/>
        </w:rPr>
        <w:t xml:space="preserve">Promo Flag = IF(Discount% &gt; 5, “On Promo”, “Regular”) — flags promotional transactions</w:t>
      </w:r>
    </w:p>
    <w:p>
      <w:pPr>
        <w:pStyle w:val="ListParagraph"/>
        <w:numPr>
          <w:ilvl w:val="0"/>
          <w:numId w:val="2"/>
        </w:numPr>
        <w:spacing w:after="60" w:before="60"/>
      </w:pPr>
      <w:r>
        <w:rPr>
          <w:rFonts w:ascii="Arial" w:cs="Arial" w:eastAsia="Arial" w:hAnsi="Arial"/>
          <w:b w:val="false"/>
          <w:bCs w:val="false"/>
          <w:color w:val="2C2C2C"/>
          <w:sz w:val="22"/>
          <w:szCs w:val="22"/>
        </w:rPr>
        <w:t xml:space="preserve">Weekly Growth = (Current Week Sales − Prior Week Sales) / Prior Week Sales × 100</w:t>
      </w:r>
    </w:p>
    <w:p>
      <w:pPr>
        <w:spacing w:after="0" w:before="120"/>
      </w:pPr>
      <w:r>
        <w:t xml:space="preserve"/>
      </w:r>
    </w:p>
    <w:p>
      <w:pPr>
        <w:spacing w:after="60" w:before="180"/>
      </w:pPr>
      <w:r>
        <w:rPr>
          <w:rFonts w:ascii="Arial" w:cs="Arial" w:eastAsia="Arial" w:hAnsi="Arial"/>
          <w:b/>
          <w:bCs/>
          <w:color w:val="1A1A2E"/>
          <w:sz w:val="22"/>
          <w:szCs w:val="22"/>
        </w:rPr>
        <w:t xml:space="preserve">Pivot Table Analysis</w:t>
      </w:r>
    </w:p>
    <w:p>
      <w:pPr>
        <w:spacing w:after="80" w:before="80"/>
      </w:pPr>
      <w:r>
        <w:rPr>
          <w:rFonts w:ascii="Arial" w:cs="Arial" w:eastAsia="Arial" w:hAnsi="Arial"/>
          <w:color w:val="2C2C2C"/>
          <w:sz w:val="22"/>
          <w:szCs w:val="22"/>
        </w:rPr>
        <w:t xml:space="preserve">A Pivot Table was built to quantify National vs Private Label market share by department: BRAND in Columns, DEPARTMENT in Rows, SALES_VALUE as the Value field, percentage format applied. This surfaced the core finding — Private Labels controlling 64.69% of Packaged Seafood and holding near parity in Pastry at 52.14%.</w:t>
      </w:r>
    </w:p>
    <w:p>
      <w:pPr>
        <w:spacing w:after="0" w:before="160"/>
      </w:pPr>
      <w:r>
        <w:t xml:space="preserve"/>
      </w:r>
    </w:p>
    <w:p>
      <w:pPr>
        <w:pStyle w:val="Heading1"/>
        <w:shd w:fill="1F4E79" w:val="clear"/>
        <w:spacing w:after="160" w:before="320"/>
        <w:ind w:left="200" w:right="200"/>
      </w:pPr>
      <w:r>
        <w:rPr>
          <w:rFonts w:ascii="Arial" w:cs="Arial" w:eastAsia="Arial" w:hAnsi="Arial"/>
          <w:b/>
          <w:bCs/>
          <w:color w:val="FFFFFF"/>
          <w:sz w:val="32"/>
          <w:szCs w:val="32"/>
        </w:rPr>
        <w:t xml:space="preserve">Power BI Dashboard — Design &amp; Methodology</w:t>
      </w:r>
    </w:p>
    <w:p>
      <w:pPr>
        <w:spacing w:after="0" w:before="80"/>
      </w:pPr>
      <w:r>
        <w:t xml:space="preserve"/>
      </w:r>
    </w:p>
    <w:p>
      <w:pPr>
        <w:spacing w:after="80" w:before="80"/>
      </w:pPr>
      <w:r>
        <w:rPr>
          <w:rFonts w:ascii="Arial" w:cs="Arial" w:eastAsia="Arial" w:hAnsi="Arial"/>
          <w:color w:val="2C2C2C"/>
          <w:sz w:val="22"/>
          <w:szCs w:val="22"/>
        </w:rPr>
        <w:t xml:space="preserve">The final intelligence dashboard was built in Power BI Desktop using a single-page layout with six visual components. Every element answers a specific business question. No decorative visuals were included.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 Component</w:t>
            </w:r>
          </w:p>
        </w:tc>
        <w:tc>
          <w:tcPr>
            <w:tcW w:type="dxa" w:w="5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Question It Answers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4 KPI Cards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What is the size, share split and discount intensity of this market?</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Donut Chart — Brand Market Share</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How is the overall market divided between National and Private Label?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Stacked Bar — Dept. Battleground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Which specific departments are most at risk from Private Labels?</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Line Chart — Weekly Sales Trend</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Is Private Label growing week on week or staying flat?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Clustered Bar — Discount Intensity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Where are brands discounting hardest to defend their position?</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2C2C2C"/>
                <w:sz w:val="20"/>
                <w:szCs w:val="20"/>
              </w:rPr>
              <w:t xml:space="preserve">Interactive Slicers (x2)</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20"/>
                <w:szCs w:val="20"/>
              </w:rPr>
              <w:t xml:space="preserve">Can we filter this view by Brand or by Department instantly?</w:t>
            </w:r>
          </w:p>
        </w:tc>
      </w:tr>
    </w:tbl>
    <w:p>
      <w:pPr>
        <w:spacing w:after="0" w:before="120"/>
      </w:pPr>
      <w:r>
        <w:t xml:space="preserve"/>
      </w:r>
    </w:p>
    <w:p>
      <w:pPr>
        <w:spacing w:after="60" w:before="180"/>
      </w:pPr>
      <w:r>
        <w:rPr>
          <w:rFonts w:ascii="Arial" w:cs="Arial" w:eastAsia="Arial" w:hAnsi="Arial"/>
          <w:b/>
          <w:bCs/>
          <w:color w:val="1A1A2E"/>
          <w:sz w:val="22"/>
          <w:szCs w:val="22"/>
        </w:rPr>
        <w:t xml:space="preserve">DAX Measures</w:t>
      </w:r>
    </w:p>
    <w:p>
      <w:pPr>
        <w:pStyle w:val="ListParagraph"/>
        <w:numPr>
          <w:ilvl w:val="0"/>
          <w:numId w:val="2"/>
        </w:numPr>
        <w:spacing w:after="60" w:before="60"/>
      </w:pPr>
      <w:r>
        <w:rPr>
          <w:rFonts w:ascii="Arial" w:cs="Arial" w:eastAsia="Arial" w:hAnsi="Arial"/>
          <w:b w:val="false"/>
          <w:bCs w:val="false"/>
          <w:color w:val="2C2C2C"/>
          <w:sz w:val="22"/>
          <w:szCs w:val="22"/>
        </w:rPr>
        <w:t xml:space="preserve">National Share % = DIVIDE(CALCULATE(SUM(SALES_VALUE), BRAND="National"), SUM(SALES_VALUE))</w:t>
      </w:r>
    </w:p>
    <w:p>
      <w:pPr>
        <w:pStyle w:val="ListParagraph"/>
        <w:numPr>
          <w:ilvl w:val="0"/>
          <w:numId w:val="2"/>
        </w:numPr>
        <w:spacing w:after="60" w:before="60"/>
      </w:pPr>
      <w:r>
        <w:rPr>
          <w:rFonts w:ascii="Arial" w:cs="Arial" w:eastAsia="Arial" w:hAnsi="Arial"/>
          <w:b w:val="false"/>
          <w:bCs w:val="false"/>
          <w:color w:val="2C2C2C"/>
          <w:sz w:val="22"/>
          <w:szCs w:val="22"/>
        </w:rPr>
        <w:t xml:space="preserve">Private Share % = DIVIDE(CALCULATE(SUM(SALES_VALUE), BRAND="Private"), SUM(SALES_VALUE))</w:t>
      </w:r>
    </w:p>
    <w:p>
      <w:pPr>
        <w:pStyle w:val="ListParagraph"/>
        <w:numPr>
          <w:ilvl w:val="0"/>
          <w:numId w:val="2"/>
        </w:numPr>
        <w:spacing w:after="60" w:before="60"/>
      </w:pPr>
      <w:r>
        <w:rPr>
          <w:rFonts w:ascii="Arial" w:cs="Arial" w:eastAsia="Arial" w:hAnsi="Arial"/>
          <w:b w:val="false"/>
          <w:bCs w:val="false"/>
          <w:color w:val="2C2C2C"/>
          <w:sz w:val="22"/>
          <w:szCs w:val="22"/>
        </w:rPr>
        <w:t xml:space="preserve">Avg Discount % = DIVIDE(ABS(SUM(RETAIL_DISC)), SUM(SALES_VALUE)) × 100</w:t>
      </w:r>
    </w:p>
    <w:p>
      <w:pPr>
        <w:pStyle w:val="ListParagraph"/>
        <w:numPr>
          <w:ilvl w:val="0"/>
          <w:numId w:val="2"/>
        </w:numPr>
        <w:spacing w:after="60" w:before="60"/>
      </w:pPr>
      <w:r>
        <w:rPr>
          <w:rFonts w:ascii="Arial" w:cs="Arial" w:eastAsia="Arial" w:hAnsi="Arial"/>
          <w:b w:val="false"/>
          <w:bCs w:val="false"/>
          <w:color w:val="2C2C2C"/>
          <w:sz w:val="22"/>
          <w:szCs w:val="22"/>
        </w:rPr>
        <w:t xml:space="preserve">National Discount % — Brand-filtered discount rate for National products only</w:t>
      </w:r>
    </w:p>
    <w:p>
      <w:pPr>
        <w:pStyle w:val="ListParagraph"/>
        <w:numPr>
          <w:ilvl w:val="0"/>
          <w:numId w:val="2"/>
        </w:numPr>
        <w:spacing w:after="60" w:before="60"/>
      </w:pPr>
      <w:r>
        <w:rPr>
          <w:rFonts w:ascii="Arial" w:cs="Arial" w:eastAsia="Arial" w:hAnsi="Arial"/>
          <w:b w:val="false"/>
          <w:bCs w:val="false"/>
          <w:color w:val="2C2C2C"/>
          <w:sz w:val="22"/>
          <w:szCs w:val="22"/>
        </w:rPr>
        <w:t xml:space="preserve">Private Discount % — Brand-filtered discount rate for Private Label products only</w:t>
      </w:r>
    </w:p>
    <w:p>
      <w:pPr>
        <w:spacing w:after="0" w:before="120"/>
      </w:pPr>
      <w:r>
        <w:t xml:space="preserve"/>
      </w:r>
    </w:p>
    <w:p>
      <w:pPr>
        <w:spacing w:after="60" w:before="180"/>
      </w:pPr>
      <w:r>
        <w:rPr>
          <w:rFonts w:ascii="Arial" w:cs="Arial" w:eastAsia="Arial" w:hAnsi="Arial"/>
          <w:b/>
          <w:bCs/>
          <w:color w:val="1A1A2E"/>
          <w:sz w:val="22"/>
          <w:szCs w:val="22"/>
        </w:rPr>
        <w:t xml:space="preserve">Design Principles</w:t>
      </w:r>
    </w:p>
    <w:p>
      <w:pPr>
        <w:pStyle w:val="ListParagraph"/>
        <w:numPr>
          <w:ilvl w:val="0"/>
          <w:numId w:val="2"/>
        </w:numPr>
        <w:spacing w:after="60" w:before="60"/>
      </w:pPr>
      <w:r>
        <w:rPr>
          <w:rFonts w:ascii="Arial" w:cs="Arial" w:eastAsia="Arial" w:hAnsi="Arial"/>
          <w:b w:val="false"/>
          <w:bCs w:val="false"/>
          <w:color w:val="2C2C2C"/>
          <w:sz w:val="22"/>
          <w:szCs w:val="22"/>
        </w:rPr>
        <w:t xml:space="preserve">Dark navy background (#0D1B2A) for boardroom-ready presentation</w:t>
      </w:r>
    </w:p>
    <w:p>
      <w:pPr>
        <w:pStyle w:val="ListParagraph"/>
        <w:numPr>
          <w:ilvl w:val="0"/>
          <w:numId w:val="2"/>
        </w:numPr>
        <w:spacing w:after="60" w:before="60"/>
      </w:pPr>
      <w:r>
        <w:rPr>
          <w:rFonts w:ascii="Arial" w:cs="Arial" w:eastAsia="Arial" w:hAnsi="Arial"/>
          <w:b w:val="false"/>
          <w:bCs w:val="false"/>
          <w:color w:val="2C2C2C"/>
          <w:sz w:val="22"/>
          <w:szCs w:val="22"/>
        </w:rPr>
        <w:t xml:space="preserve">Consistent colour language — National Brand in Steel Blue (#4A90D9), Private Label in Orange (#F28C28)</w:t>
      </w:r>
    </w:p>
    <w:p>
      <w:pPr>
        <w:pStyle w:val="ListParagraph"/>
        <w:numPr>
          <w:ilvl w:val="0"/>
          <w:numId w:val="2"/>
        </w:numPr>
        <w:spacing w:after="60" w:before="60"/>
      </w:pPr>
      <w:r>
        <w:rPr>
          <w:rFonts w:ascii="Arial" w:cs="Arial" w:eastAsia="Arial" w:hAnsi="Arial"/>
          <w:b w:val="false"/>
          <w:bCs w:val="false"/>
          <w:color w:val="2C2C2C"/>
          <w:sz w:val="22"/>
          <w:szCs w:val="22"/>
        </w:rPr>
        <w:t xml:space="preserve">Data anomaly at Week 48 identified, annotated, and filtered from trend analysis</w:t>
      </w:r>
    </w:p>
    <w:p>
      <w:pPr>
        <w:pStyle w:val="ListParagraph"/>
        <w:numPr>
          <w:ilvl w:val="0"/>
          <w:numId w:val="2"/>
        </w:numPr>
        <w:spacing w:after="60" w:before="60"/>
      </w:pPr>
      <w:r>
        <w:rPr>
          <w:rFonts w:ascii="Arial" w:cs="Arial" w:eastAsia="Arial" w:hAnsi="Arial"/>
          <w:b w:val="false"/>
          <w:bCs w:val="false"/>
          <w:color w:val="2C2C2C"/>
          <w:sz w:val="22"/>
          <w:szCs w:val="22"/>
        </w:rPr>
        <w:t xml:space="preserve">Only 6 colours used across the entire dashboard — eliminates visual noise</w:t>
      </w:r>
    </w:p>
    <w:p>
      <w:pPr>
        <w:pStyle w:val="ListParagraph"/>
        <w:numPr>
          <w:ilvl w:val="0"/>
          <w:numId w:val="2"/>
        </w:numPr>
        <w:spacing w:after="60" w:before="60"/>
      </w:pPr>
      <w:r>
        <w:rPr>
          <w:rFonts w:ascii="Arial" w:cs="Arial" w:eastAsia="Arial" w:hAnsi="Arial"/>
          <w:b w:val="false"/>
          <w:bCs w:val="false"/>
          <w:color w:val="2C2C2C"/>
          <w:sz w:val="22"/>
          <w:szCs w:val="22"/>
        </w:rPr>
        <w:t xml:space="preserve">Interactive slicers enable client-facing drill-down without rebuilding the report</w:t>
      </w:r>
    </w:p>
    <w:p>
      <w:pPr>
        <w:spacing w:after="0" w:before="160"/>
      </w:pPr>
      <w:r>
        <w:t xml:space="preserve"/>
      </w:r>
    </w:p>
    <w:p>
      <w:pPr>
        <w:pStyle w:val="Heading1"/>
        <w:shd w:fill="1F4E79" w:val="clear"/>
        <w:spacing w:after="160" w:before="320"/>
        <w:ind w:left="200" w:right="200"/>
      </w:pPr>
      <w:r>
        <w:rPr>
          <w:rFonts w:ascii="Arial" w:cs="Arial" w:eastAsia="Arial" w:hAnsi="Arial"/>
          <w:b/>
          <w:bCs/>
          <w:color w:val="FFFFFF"/>
          <w:sz w:val="32"/>
          <w:szCs w:val="32"/>
        </w:rPr>
        <w:t xml:space="preserve">Conclusion &amp; Recommendations</w:t>
      </w:r>
    </w:p>
    <w:p>
      <w:pPr>
        <w:spacing w:after="0" w:before="80"/>
      </w:pPr>
      <w:r>
        <w:t xml:space="preserve"/>
      </w:r>
    </w:p>
    <w:p>
      <w:pPr>
        <w:spacing w:after="80" w:before="80"/>
      </w:pPr>
      <w:r>
        <w:rPr>
          <w:rFonts w:ascii="Arial" w:cs="Arial" w:eastAsia="Arial" w:hAnsi="Arial"/>
          <w:color w:val="2C2C2C"/>
          <w:sz w:val="22"/>
          <w:szCs w:val="22"/>
        </w:rPr>
        <w:t xml:space="preserve">Three strategic recommendations based on the findings:</w:t>
      </w:r>
    </w:p>
    <w:p>
      <w:pPr>
        <w:spacing w:after="0" w:before="100"/>
      </w:pPr>
      <w:r>
        <w:t xml:space="preserve"/>
      </w:r>
    </w:p>
    <w:p>
      <w:pPr>
        <w:spacing w:after="60" w:before="180"/>
      </w:pPr>
      <w:r>
        <w:rPr>
          <w:rFonts w:ascii="Arial" w:cs="Arial" w:eastAsia="Arial" w:hAnsi="Arial"/>
          <w:b/>
          <w:bCs/>
          <w:color w:val="1A1A2E"/>
          <w:sz w:val="22"/>
          <w:szCs w:val="22"/>
        </w:rPr>
        <w:t xml:space="preserve">1. Defend Packaged Seafood and Pastry</w:t>
      </w:r>
    </w:p>
    <w:p>
      <w:pPr>
        <w:spacing w:after="80" w:before="80"/>
      </w:pPr>
      <w:r>
        <w:rPr>
          <w:rFonts w:ascii="Arial" w:cs="Arial" w:eastAsia="Arial" w:hAnsi="Arial"/>
          <w:color w:val="2C2C2C"/>
          <w:sz w:val="22"/>
          <w:szCs w:val="22"/>
        </w:rPr>
        <w:t xml:space="preserve">National Brand CPG clients should prioritise innovation and value communication in these two departments where Private Label has gained dominant or near-equal share. The threat is structural, not tactical — consumers are no longer convinced the value gap justifies the price gap. Price promotion alone will not reverse this.</w:t>
      </w:r>
    </w:p>
    <w:p>
      <w:pPr>
        <w:spacing w:after="0" w:before="80"/>
      </w:pPr>
      <w:r>
        <w:t xml:space="preserve"/>
      </w:r>
    </w:p>
    <w:p>
      <w:pPr>
        <w:spacing w:after="60" w:before="180"/>
      </w:pPr>
      <w:r>
        <w:rPr>
          <w:rFonts w:ascii="Arial" w:cs="Arial" w:eastAsia="Arial" w:hAnsi="Arial"/>
          <w:b/>
          <w:bCs/>
          <w:color w:val="1A1A2E"/>
          <w:sz w:val="22"/>
          <w:szCs w:val="22"/>
        </w:rPr>
        <w:t xml:space="preserve">2. Reduce Discount Dependency</w:t>
      </w:r>
    </w:p>
    <w:p>
      <w:pPr>
        <w:spacing w:after="80" w:before="80"/>
      </w:pPr>
      <w:r>
        <w:rPr>
          <w:rFonts w:ascii="Arial" w:cs="Arial" w:eastAsia="Arial" w:hAnsi="Arial"/>
          <w:color w:val="2C2C2C"/>
          <w:sz w:val="22"/>
          <w:szCs w:val="22"/>
        </w:rPr>
        <w:t xml:space="preserve">A 17.6% average discount rate is unsustainable. Brands should shift investment from price promotions to brand equity building, particularly in high-risk departments. Discounting trains consumers to wait for a deal rather than pay full price — compounding the long-term margin problem with every cycle.</w:t>
      </w:r>
    </w:p>
    <w:p>
      <w:pPr>
        <w:spacing w:after="0" w:before="80"/>
      </w:pPr>
      <w:r>
        <w:t xml:space="preserve"/>
      </w:r>
    </w:p>
    <w:p>
      <w:pPr>
        <w:spacing w:after="60" w:before="180"/>
      </w:pPr>
      <w:r>
        <w:rPr>
          <w:rFonts w:ascii="Arial" w:cs="Arial" w:eastAsia="Arial" w:hAnsi="Arial"/>
          <w:b/>
          <w:bCs/>
          <w:color w:val="1A1A2E"/>
          <w:sz w:val="22"/>
          <w:szCs w:val="22"/>
        </w:rPr>
        <w:t xml:space="preserve">3. Monitor Weekly Trend Continuously</w:t>
      </w:r>
    </w:p>
    <w:p>
      <w:pPr>
        <w:spacing w:after="80" w:before="80"/>
      </w:pPr>
      <w:r>
        <w:rPr>
          <w:rFonts w:ascii="Arial" w:cs="Arial" w:eastAsia="Arial" w:hAnsi="Arial"/>
          <w:color w:val="2C2C2C"/>
          <w:sz w:val="22"/>
          <w:szCs w:val="22"/>
        </w:rPr>
        <w:t xml:space="preserve">Private Label’s gradual week-on-week growth trajectory requires continuous monitoring. Early detection of accelerating share shift enables faster client response — which is the core value proposition of market intelligence.</w:t>
      </w:r>
    </w:p>
    <w:p>
      <w:pPr>
        <w:spacing w:after="0" w:before="160"/>
      </w:pPr>
      <w:r>
        <w:t xml:space="preserve"/>
      </w:r>
    </w:p>
    <w:p>
      <w:pPr>
        <w:spacing w:after="40" w:before="0"/>
      </w:pPr>
      <w:r>
        <w:rPr>
          <w:rFonts w:ascii="Arial" w:cs="Arial" w:eastAsia="Arial" w:hAnsi="Arial"/>
          <w:b/>
          <w:bCs/>
          <w:color w:val="1F4E79"/>
          <w:sz w:val="20"/>
          <w:szCs w:val="20"/>
        </w:rPr>
        <w:t xml:space="preserve">Tools Used: </w:t>
      </w:r>
    </w:p>
    <w:p>
      <w:pPr>
        <w:spacing w:after="240" w:before="0"/>
      </w:pPr>
      <w:r>
        <w:rPr>
          <w:rFonts w:ascii="Arial" w:cs="Arial" w:eastAsia="Arial" w:hAnsi="Arial"/>
          <w:color w:val="555555"/>
          <w:sz w:val="20"/>
          <w:szCs w:val="20"/>
        </w:rPr>
        <w:t xml:space="preserve">Microsoft Excel (VLOOKUP, Pivot Tables, Calculated Columns)  |  Power BI Desktop (DAX Measures, Interactive Dashboard)</w:t>
      </w:r>
    </w:p>
    <w:p>
      <w:pPr>
        <w:spacing w:after="40" w:before="0"/>
        <w:jc w:val="center"/>
      </w:pPr>
      <w:r>
        <w:rPr>
          <w:rFonts w:ascii="Arial" w:cs="Arial" w:eastAsia="Arial" w:hAnsi="Arial"/>
          <w:b/>
          <w:bCs/>
          <w:color w:val="0D1B2A"/>
          <w:sz w:val="30"/>
          <w:szCs w:val="30"/>
        </w:rPr>
        <w:t xml:space="preserve">Ujwal Amin</w:t>
      </w:r>
    </w:p>
    <w:p>
      <w:pPr>
        <w:spacing w:after="0" w:before="0"/>
        <w:jc w:val="center"/>
      </w:pPr>
      <w:r>
        <w:rPr>
          <w:rFonts w:ascii="Arial" w:cs="Arial" w:eastAsia="Arial" w:hAnsi="Arial"/>
          <w:i/>
          <w:iCs/>
          <w:color w:val="555555"/>
          <w:sz w:val="22"/>
          <w:szCs w:val="22"/>
        </w:rPr>
        <w:t xml:space="preserve">Data Operations Analyst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100"/>
    </w:pPr>
    <w:r>
      <w:rPr>
        <w:rFonts w:ascii="Arial" w:cs="Arial" w:eastAsia="Arial" w:hAnsi="Arial"/>
        <w:color w:val="888888"/>
        <w:sz w:val="18"/>
        <w:szCs w:val="18"/>
      </w:rPr>
      <w:t xml:space="preserve">Ujwal Amin  |  Data Operations Analyst  |  May 2026</w:t>
    </w:r>
    <w:r>
      <w:rPr>
        <w:rFonts w:ascii="Arial" w:cs="Arial" w:eastAsia="Arial" w:hAnsi="Arial"/>
        <w:sz w:val="18"/>
        <w:szCs w:val="18"/>
      </w:rPr>
      <w:t xml:space="preserv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pPr>
    <w:r>
      <w:rPr>
        <w:rFonts w:ascii="Arial" w:cs="Arial" w:eastAsia="Arial" w:hAnsi="Arial"/>
        <w:color w:val="888888"/>
        <w:sz w:val="18"/>
        <w:szCs w:val="18"/>
      </w:rPr>
      <w:t xml:space="preserve">FMCG Market Intelligence  |  Data Operations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2026-05-12T10:50:22.077Z</dcterms:created>
  <dcterms:modified xsi:type="dcterms:W3CDTF">2026-05-12T10:50:22.093Z</dcterms:modified>
</cp:coreProperties>
</file>

<file path=docProps/custom.xml><?xml version="1.0" encoding="utf-8"?>
<Properties xmlns="http://schemas.openxmlformats.org/officeDocument/2006/custom-properties" xmlns:vt="http://schemas.openxmlformats.org/officeDocument/2006/docPropsVTypes"/>
</file>