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 title="Logo de Villafañe Wifi" descr="Identidad visual de Villafañe Wif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villafane-wif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/>
          <w:i w:val="0"/>
          <w:color w:val="24936A"/>
          <w:sz w:val="20"/>
        </w:rPr>
        <w:t>REFERENCIA PARA DESARROLLO</w:t>
      </w:r>
    </w:p>
    <w:p>
      <w:pPr>
        <w:pStyle w:val="Title"/>
        <w:jc w:val="center"/>
      </w:pPr>
      <w:r>
        <w:t>Documentación técnica</w:t>
      </w:r>
    </w:p>
    <w:p>
      <w:pPr>
        <w:pStyle w:val="Subtitle"/>
        <w:jc w:val="center"/>
      </w:pPr>
      <w:r>
        <w:t>Arquitectura, código, base de datos y operación - Módulo 1</w:t>
      </w:r>
    </w:p>
    <w:p/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Proyecto: Sistema de Gestión Integral y Atención al Cliente para Villafañe Wifi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Autores: Belazquez y Serrano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Carrera: Licenciatura en Sistemas de Información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Materia: Seminario de Integración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Versión evaluada: Módulo 1 - 02/09/2026</w:t>
      </w:r>
    </w:p>
    <w:p>
      <w:r>
        <w:br w:type="page"/>
      </w:r>
    </w:p>
    <w:p>
      <w:pPr>
        <w:pStyle w:val="Heading1"/>
      </w:pPr>
      <w:r>
        <w:t>1. Visión técnica</w:t>
      </w:r>
    </w:p>
    <w:p>
      <w:r>
        <w:rPr>
          <w:rFonts w:ascii="Aptos" w:hAnsi="Aptos"/>
          <w:b w:val="0"/>
          <w:i w:val="0"/>
          <w:color w:val="17251F"/>
          <w:sz w:val="22"/>
        </w:rPr>
        <w:t>El sistema se implementa como un monolito modular con Django. Cada aplicación representa una capacidad del negocio y expone servicios de aplicación para evitar que las vistas concentren reglas. El panel web y la API REST comparten modelos, políticas de acceso y lógica transaccional.</w:t>
      </w:r>
    </w:p>
    <w:p>
      <w:pPr>
        <w:pStyle w:val="Heading1"/>
      </w:pPr>
      <w:r>
        <w:t>2. Tecnologías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800"/>
        <w:gridCol w:w="4660"/>
      </w:tblGrid>
      <w:tr>
        <w:trPr>
          <w:tblHeader w:val="true"/>
        </w:trPr>
        <w:tc>
          <w:tcPr>
            <w:tcW w:type="dxa" w:w="19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Capa</w:t>
            </w:r>
          </w:p>
        </w:tc>
        <w:tc>
          <w:tcPr>
            <w:tcW w:type="dxa" w:w="28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Tecnología</w:t>
            </w:r>
          </w:p>
        </w:tc>
        <w:tc>
          <w:tcPr>
            <w:tcW w:type="dxa" w:w="46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Lenguaje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Python 3.12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POO y reglas del negocio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Framework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Django 5.2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Modelos, vistas, formularios y autenticación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API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Django REST Framework 3.16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Endpoints autenticados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Base de datos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PostgreSQL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Persistencia principal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Tareas futuras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Celery + Redis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Automatización e integraciones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Pruebas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Pytest + pytest-django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Pruebas unitarias y recorridos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Calidad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Ruff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Análisis estático y formato</w:t>
            </w:r>
          </w:p>
        </w:tc>
      </w:tr>
    </w:tbl>
    <w:p>
      <w:pPr>
        <w:spacing w:after="40"/>
      </w:pPr>
    </w:p>
    <w:p>
      <w:pPr>
        <w:pStyle w:val="Heading1"/>
      </w:pPr>
      <w:r>
        <w:t>3. Estructura del proyecto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Ruta</w:t>
            </w:r>
          </w:p>
        </w:tc>
        <w:tc>
          <w:tcPr>
            <w:tcW w:type="dxa" w:w="62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backend/config</w:t>
            </w:r>
          </w:p>
        </w:tc>
        <w:tc>
          <w:tcPr>
            <w:tcW w:type="dxa" w:w="6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Configuración, rutas, ASGI y WSGI.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backend/apps/usuarios</w:t>
            </w:r>
          </w:p>
        </w:tc>
        <w:tc>
          <w:tcPr>
            <w:tcW w:type="dxa" w:w="6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Usuario, subtipos, autenticación y permisos.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backend/apps/clientes</w:t>
            </w:r>
          </w:p>
        </w:tc>
        <w:tc>
          <w:tcPr>
            <w:tcW w:type="dxa" w:w="6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Clientes, teléfonos y casos de uso.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backend/apps/servicios</w:t>
            </w:r>
          </w:p>
        </w:tc>
        <w:tc>
          <w:tcPr>
            <w:tcW w:type="dxa" w:w="6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Planes y conexiones contratadas.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backend/apps/facturacion</w:t>
            </w:r>
          </w:p>
        </w:tc>
        <w:tc>
          <w:tcPr>
            <w:tcW w:type="dxa" w:w="6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Cuotas, cuenta corriente y pagos.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backend/templates</w:t>
            </w:r>
          </w:p>
        </w:tc>
        <w:tc>
          <w:tcPr>
            <w:tcW w:type="dxa" w:w="6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Pantallas HTML del panel.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backend/static</w:t>
            </w:r>
          </w:p>
        </w:tc>
        <w:tc>
          <w:tcPr>
            <w:tcW w:type="dxa" w:w="6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CSS, logo y recursos visuales.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requirements</w:t>
            </w:r>
          </w:p>
        </w:tc>
        <w:tc>
          <w:tcPr>
            <w:tcW w:type="dxa" w:w="6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Dependencias base y de desarrollo.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docs</w:t>
            </w:r>
          </w:p>
        </w:tc>
        <w:tc>
          <w:tcPr>
            <w:tcW w:type="dxa" w:w="6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Convenciones, modularización y entregables.</w:t>
            </w:r>
          </w:p>
        </w:tc>
      </w:tr>
    </w:tbl>
    <w:p>
      <w:pPr>
        <w:spacing w:after="40"/>
      </w:pPr>
    </w:p>
    <w:p>
      <w:pPr>
        <w:pStyle w:val="Heading1"/>
      </w:pPr>
      <w:r>
        <w:t>4. Módulos y dependencias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usuarios es transversal y autoriza las operaciones.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clientes es propietario de Cliente y TelefonoCliente.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servicios depende de clientes y administra Plan y Servicio.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facturacion depende de servicios y administra Cuota, Pago y CuentaReceptora.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reportes podrá leer otros módulos, pero no modificar sus datos.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integraciones traducirá Meta, OCR y LLM a operaciones internas.</w:t>
      </w:r>
    </w:p>
    <w:p>
      <w:pPr>
        <w:pStyle w:val="Heading1"/>
      </w:pPr>
      <w:r>
        <w:t>5. Modelo de datos implementado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600"/>
        <w:gridCol w:w="4410"/>
      </w:tblGrid>
      <w:tr>
        <w:trPr>
          <w:tblHeader w:val="true"/>
        </w:trPr>
        <w:tc>
          <w:tcPr>
            <w:tcW w:type="dxa" w:w="235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Entidad</w:t>
            </w:r>
          </w:p>
        </w:tc>
        <w:tc>
          <w:tcPr>
            <w:tcW w:type="dxa" w:w="26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Clave</w:t>
            </w:r>
          </w:p>
        </w:tc>
        <w:tc>
          <w:tcPr>
            <w:tcW w:type="dxa" w:w="441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Usuario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id</w:t>
            </w:r>
          </w:p>
        </w:tc>
        <w:tc>
          <w:tcPr>
            <w:tcW w:type="dxa" w:w="4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Credencial común y estado de acceso.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Empleado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id_usuario (PK/FK)</w:t>
            </w:r>
          </w:p>
        </w:tc>
        <w:tc>
          <w:tcPr>
            <w:tcW w:type="dxa" w:w="4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Subtipo con área.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Administrador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id_usuario (PK/FK)</w:t>
            </w:r>
          </w:p>
        </w:tc>
        <w:tc>
          <w:tcPr>
            <w:tcW w:type="dxa" w:w="4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Subtipo administrativo.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Cliente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id</w:t>
            </w:r>
          </w:p>
        </w:tc>
        <w:tc>
          <w:tcPr>
            <w:tcW w:type="dxa" w:w="4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Persona o empresa titular.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ClienteTelefono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numero</w:t>
            </w:r>
          </w:p>
        </w:tc>
        <w:tc>
          <w:tcPr>
            <w:tcW w:type="dxa" w:w="4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Teléfono único del cliente.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Plan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id</w:t>
            </w:r>
          </w:p>
        </w:tc>
        <w:tc>
          <w:tcPr>
            <w:tcW w:type="dxa" w:w="4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Oferta comercial y precio vigente.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id</w:t>
            </w:r>
          </w:p>
        </w:tc>
        <w:tc>
          <w:tcPr>
            <w:tcW w:type="dxa" w:w="4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Conexión de un cliente con un plan.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CuentaReceptora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id</w:t>
            </w:r>
          </w:p>
        </w:tc>
        <w:tc>
          <w:tcPr>
            <w:tcW w:type="dxa" w:w="4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Destino habilitado para cobranzas.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Pago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id</w:t>
            </w:r>
          </w:p>
        </w:tc>
        <w:tc>
          <w:tcPr>
            <w:tcW w:type="dxa" w:w="4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Cobranza acreditada.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Cuota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id</w:t>
            </w:r>
          </w:p>
        </w:tc>
        <w:tc>
          <w:tcPr>
            <w:tcW w:type="dxa" w:w="4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Importe mensual de un servicio.</w:t>
            </w:r>
          </w:p>
        </w:tc>
      </w:tr>
    </w:tbl>
    <w:p>
      <w:pPr>
        <w:spacing w:after="40"/>
      </w:pPr>
    </w:p>
    <w:p>
      <w:pPr>
        <w:pStyle w:val="Heading2"/>
      </w:pPr>
      <w:r>
        <w:t>5.1 Relaciones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Relación</w:t>
            </w:r>
          </w:p>
        </w:tc>
        <w:tc>
          <w:tcPr>
            <w:tcW w:type="dxa" w:w="15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Cardinalidad</w:t>
            </w:r>
          </w:p>
        </w:tc>
        <w:tc>
          <w:tcPr>
            <w:tcW w:type="dxa" w:w="48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Lectura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Usuario - Empleado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1:1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Especialización con PK compartida.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Usuario - Administrador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1:1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Especialización con PK compartida.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Cliente - Teléfono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1:N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Un cliente posee varios teléfonos.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Cliente - Servicio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1:N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Un cliente contrata varias conexiones.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Plan - Servicio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1:N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Un plan se asigna a varios servicios.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 - Cuota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1:N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Un servicio genera cuotas mensuales.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CuentaReceptora - Pago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1:N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Una cuenta recibe pagos.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Pago - Cuota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1:N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Un pago cancela varias cuotas.</w:t>
            </w:r>
          </w:p>
        </w:tc>
      </w:tr>
    </w:tbl>
    <w:p>
      <w:pPr>
        <w:spacing w:after="40"/>
      </w:pPr>
    </w:p>
    <w:p>
      <w:pPr>
        <w:pStyle w:val="Heading2"/>
      </w:pPr>
      <w:r>
        <w:t>5.2 Restricciones relevantes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Documento único por tipo de documento.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Teléfono único en cliente_telefono.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Nombre de plan único sin distinguir mayúsculas.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IP y MAC únicas cuando están informadas.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Día de vencimiento entre 1 y 31.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Una cuota por servicio y período.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Montos de cuota y pago positivos.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Fecha de vencimiento posterior o igual a la emisión.</w:t>
      </w:r>
    </w:p>
    <w:p>
      <w:pPr>
        <w:pStyle w:val="Heading1"/>
      </w:pPr>
      <w:r>
        <w:t>6. Diseño orientado a objetos</w:t>
      </w:r>
    </w:p>
    <w:p>
      <w:r>
        <w:rPr>
          <w:rFonts w:ascii="Aptos" w:hAnsi="Aptos"/>
          <w:b w:val="0"/>
          <w:i w:val="0"/>
          <w:color w:val="17251F"/>
          <w:sz w:val="22"/>
        </w:rPr>
        <w:t>Los modelos representan entidades persistentes. Las clases de servicios coordinan validaciones y transacciones. Los formularios y serializadores validan entradas, mientras las vistas se ocupan de HTTP y presentación.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Clase</w:t>
            </w:r>
          </w:p>
        </w:tc>
        <w:tc>
          <w:tcPr>
            <w:tcW w:type="dxa" w:w="60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ServicioUsuarios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Crea un usuario con exactamente un subtipo.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ServicioAutorizacion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Selecciona la política según subtipo y área.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ServicioClientes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Alta, búsqueda, edición y baja lógica.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ServicioPlanes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Gestión del catálogo comercial.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ServicioContrataciones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Altas, cambios y bajas de conexiones.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ServicioFacturacion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Genera cuotas y registra pagos atómicos.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ServicioCuentaCorriente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Calcula deuda e historial sin redundancia.</w:t>
            </w:r>
          </w:p>
        </w:tc>
      </w:tr>
    </w:tbl>
    <w:p>
      <w:pPr>
        <w:spacing w:after="40"/>
      </w:pPr>
    </w:p>
    <w:p>
      <w:pPr>
        <w:pStyle w:val="Heading1"/>
      </w:pPr>
      <w:r>
        <w:t>7. Seguridad y autorización</w:t>
      </w:r>
    </w:p>
    <w:p>
      <w:r>
        <w:rPr>
          <w:rFonts w:ascii="Aptos" w:hAnsi="Aptos"/>
          <w:b w:val="0"/>
          <w:i w:val="0"/>
          <w:color w:val="17251F"/>
          <w:sz w:val="22"/>
        </w:rPr>
        <w:t>Django almacena las contraseñas con hash y utiliza sesiones. La generalización Usuario-Empleado-Administrador es total y disjunta a nivel de servicios de creación. La política de autorización rechaza perfiles faltantes o dobles.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3CD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E3A2E"/>
                <w:sz w:val="20"/>
              </w:rPr>
              <w:t xml:space="preserve">Producción: </w:t>
            </w:r>
            <w:r>
              <w:rPr>
                <w:rFonts w:ascii="Aptos" w:hAnsi="Aptos"/>
                <w:b w:val="0"/>
                <w:i w:val="0"/>
                <w:color w:val="17251F"/>
                <w:sz w:val="20"/>
              </w:rPr>
              <w:t>Activar DEBUG=False, HTTPS, SECURE_SSL_REDIRECT, SESSION_COOKIE_SECURE, CSRF_COOKIE_SECURE y HSTS cuando corresponda.</w:t>
            </w:r>
          </w:p>
        </w:tc>
      </w:tr>
    </w:tbl>
    <w:p>
      <w:pPr>
        <w:spacing w:after="40"/>
      </w:pPr>
    </w:p>
    <w:p>
      <w:pPr>
        <w:pStyle w:val="Heading1"/>
      </w:pPr>
      <w:r>
        <w:t>8. Rutas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Ruta</w:t>
            </w:r>
          </w:p>
        </w:tc>
        <w:tc>
          <w:tcPr>
            <w:tcW w:type="dxa" w:w="51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Función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Inicio del panel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/iniciar-sesion/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Autenticación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/panel/clientes/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Clientes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/panel/planes/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Planes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/panel/conexiones/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Servicios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/panel/cuentas/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Cuentas corrientes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/panel/cuentas/generar-cuotas/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Generación mensual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/admin/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Administración técnica de Django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/health/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Comprobación de salud</w:t>
            </w:r>
          </w:p>
        </w:tc>
      </w:tr>
    </w:tbl>
    <w:p>
      <w:pPr>
        <w:spacing w:after="40"/>
      </w:pPr>
    </w:p>
    <w:p>
      <w:pPr>
        <w:pStyle w:val="Heading2"/>
      </w:pPr>
      <w:r>
        <w:t>8.1 API REST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Endpoint</w:t>
            </w:r>
          </w:p>
        </w:tc>
        <w:tc>
          <w:tcPr>
            <w:tcW w:type="dxa" w:w="51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/api/clientes/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CRUD con baja lógica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/api/planes/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Catálogo de planes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/api/servicios/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Conexiones contratadas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/api/cuotas/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Consulta de cuotas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/api/cuotas/generar/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Generación de cuotas</w:t>
            </w:r>
          </w:p>
        </w:tc>
      </w:tr>
      <w:tr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/api/pagos/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Consulta y registro de pagos</w:t>
            </w:r>
          </w:p>
        </w:tc>
      </w:tr>
    </w:tbl>
    <w:p>
      <w:pPr>
        <w:spacing w:after="40"/>
      </w:pPr>
    </w:p>
    <w:p>
      <w:pPr>
        <w:pStyle w:val="Heading1"/>
      </w:pPr>
      <w:r>
        <w:t>9. Configuración local</w:t>
      </w:r>
    </w:p>
    <w:p>
      <w:r>
        <w:rPr>
          <w:rFonts w:ascii="Aptos" w:hAnsi="Aptos"/>
          <w:b w:val="0"/>
          <w:i w:val="0"/>
          <w:color w:val="17251F"/>
          <w:sz w:val="22"/>
        </w:rPr>
        <w:t>Variables esperadas en .env, sin incluir valores secretos: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DJANGO_SETTINGS_MODULE y DJANGO_SECRET_KEY.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DJANGO_ALLOWED_HOSTS.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DATABASE_URL para PostgreSQL.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REDIS_URL para tareas futuras.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Credenciales de WhatsApp, LLM y Google Cloud cuando se implementen integraciones.</w:t>
      </w:r>
    </w:p>
    <w:p>
      <w:pPr>
        <w:pStyle w:val="Heading2"/>
      </w:pPr>
      <w:r>
        <w:t>9.1 Preparación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Crear el entorno: python -m venv .venv.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Activarlo: .\.venv\Scripts\Activate.ps1.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Instalar dependencias: pip install -r requirements\dev.txt.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Crear la base villafane_wifi en PostgreSQL.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Aplicar migraciones: python backend\manage.py migrate.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Ejecutar: python backend\manage.py runserver.</w:t>
      </w:r>
    </w:p>
    <w:p>
      <w:pPr>
        <w:pStyle w:val="Heading1"/>
      </w:pPr>
      <w:r>
        <w:t>10. Pruebas y calidad</w:t>
      </w:r>
    </w:p>
    <w:p>
      <w:r>
        <w:rPr>
          <w:rFonts w:ascii="Aptos" w:hAnsi="Aptos"/>
          <w:b w:val="0"/>
          <w:i w:val="0"/>
          <w:color w:val="17251F"/>
          <w:sz w:val="22"/>
        </w:rPr>
        <w:t>La batería actual contiene 50 pruebas. Las pruebas rápidas usan SQLite en memoria; el módulo de facturación también fue validado contra PostgreSQL. La configuración real continúa utilizando PostgreSQL.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5260"/>
      </w:tblGrid>
      <w:tr>
        <w:trPr>
          <w:tblHeader w:val="true"/>
        </w:trPr>
        <w:tc>
          <w:tcPr>
            <w:tcW w:type="dxa" w:w="41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Comando</w:t>
            </w:r>
          </w:p>
        </w:tc>
        <w:tc>
          <w:tcPr>
            <w:tcW w:type="dxa" w:w="52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Objetivo</w:t>
            </w:r>
          </w:p>
        </w:tc>
      </w:tr>
      <w:tr>
        <w:tc>
          <w:tcPr>
            <w:tcW w:type="dxa" w:w="4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pytest -q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Ejecuta las 50 pruebas.</w:t>
            </w:r>
          </w:p>
        </w:tc>
      </w:tr>
      <w:tr>
        <w:tc>
          <w:tcPr>
            <w:tcW w:type="dxa" w:w="4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ruff check backend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Analiza estilo, errores e imports.</w:t>
            </w:r>
          </w:p>
        </w:tc>
      </w:tr>
      <w:tr>
        <w:tc>
          <w:tcPr>
            <w:tcW w:type="dxa" w:w="4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manage.py check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Valida configuración de Django.</w:t>
            </w:r>
          </w:p>
        </w:tc>
      </w:tr>
      <w:tr>
        <w:tc>
          <w:tcPr>
            <w:tcW w:type="dxa" w:w="4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makemigrations --check --dry-run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Detecta cambios sin migración.</w:t>
            </w:r>
          </w:p>
        </w:tc>
      </w:tr>
      <w:tr>
        <w:tc>
          <w:tcPr>
            <w:tcW w:type="dxa" w:w="4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manage.py check --deploy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Advierte configuraciones inseguras de producción.</w:t>
            </w:r>
          </w:p>
        </w:tc>
      </w:tr>
    </w:tbl>
    <w:p>
      <w:pPr>
        <w:spacing w:after="40"/>
      </w:pPr>
    </w:p>
    <w:p>
      <w:pPr>
        <w:pStyle w:val="Heading1"/>
      </w:pPr>
      <w:r>
        <w:t>11. Despliegue previsto</w:t>
      </w:r>
    </w:p>
    <w:p>
      <w:r>
        <w:rPr>
          <w:rFonts w:ascii="Aptos" w:hAnsi="Aptos"/>
          <w:b w:val="0"/>
          <w:i w:val="0"/>
          <w:color w:val="17251F"/>
          <w:sz w:val="22"/>
        </w:rPr>
        <w:t>La aplicación está preparada para ejecutarse con Gunicorn o Uvicorn y una base PostgreSQL administrada. Railway o Render son opciones para desarrollo y demostración. Antes del despliegue deben configurarse dominio, HTTPS, variables secretas, archivos estáticos, copias de seguridad y monitoreo.</w:t>
      </w:r>
    </w:p>
    <w:p>
      <w:pPr>
        <w:pStyle w:val="Heading1"/>
      </w:pPr>
      <w:r>
        <w:t>12. Evolución prevista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Conversaciones y mensajes.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Integración con WhatsApp y transferencia a empleados.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Clasificación de intención mediante LLM externo.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Comprobantes, hash de duplicados, OCR y conciliación.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Tickets, notas internas y soporte técnico.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Reportes, alertas y automatizaciones con Celery.</w:t>
      </w:r>
    </w:p>
    <w:p>
      <w:pPr>
        <w:pStyle w:val="Heading1"/>
      </w:pPr>
      <w:r>
        <w:t>13. Criterios de mantenimiento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Revisar requerimientos y DER antes de cada módulo.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Agregar migraciones por cada modificación persistente.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Ubicar reglas de negocio en servicios, no en plantillas.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Mantener nombres y documentación propia en español.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Agregar pruebas para cada regla nueva o error corregido.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No publicar archivos .env, credenciales ni bases locales.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87970"/>
        <w:sz w:val="18"/>
      </w:rPr>
      <w:t xml:space="preserve">Seminario de Integración  |  Página </w:t>
    </w:r>
    <w:r>
      <w:rPr>
        <w:rFonts w:ascii="Aptos" w:hAnsi="Aptos"/>
        <w:b w:val="0"/>
        <w:i w:val="0"/>
        <w:color w:val="68797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5" w:color="BFD8CC"/>
      </w:pBdr>
    </w:pPr>
    <w:r>
      <w:rPr>
        <w:rFonts w:ascii="Aptos" w:hAnsi="Aptos"/>
        <w:b/>
        <w:i w:val="0"/>
        <w:color w:val="687970"/>
        <w:sz w:val="17"/>
      </w:rPr>
      <w:t>VILLAFAÑE WIFI  | 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1725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3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93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E3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E3A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6879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4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4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