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 title="Logo de Villafañe Wifi" descr="Identidad visual de Villafañe Wif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villafane-wif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/>
          <w:b/>
          <w:i w:val="0"/>
          <w:color w:val="24936A"/>
          <w:sz w:val="20"/>
        </w:rPr>
        <w:t>INFORME DE REVISIÓN</w:t>
      </w:r>
    </w:p>
    <w:p>
      <w:pPr>
        <w:pStyle w:val="Title"/>
        <w:jc w:val="center"/>
      </w:pPr>
      <w:r>
        <w:t>Revisión final del Módulo 1</w:t>
      </w:r>
    </w:p>
    <w:p>
      <w:pPr>
        <w:pStyle w:val="Subtitle"/>
        <w:jc w:val="center"/>
      </w:pPr>
      <w:r>
        <w:t>Resultado funcional, técnico y de calidad antes del cierre académico</w:t>
      </w:r>
    </w:p>
    <w:p/>
    <w:p>
      <w:pPr>
        <w:spacing w:after="60"/>
        <w:jc w:val="center"/>
      </w:pPr>
      <w:r>
        <w:rPr>
          <w:rFonts w:ascii="Aptos" w:hAnsi="Aptos"/>
          <w:b w:val="0"/>
          <w:i w:val="0"/>
          <w:color w:val="687970"/>
          <w:sz w:val="20"/>
        </w:rPr>
        <w:t>Proyecto: Sistema de Gestión Integral y Atención al Cliente para Villafañe Wifi</w:t>
      </w:r>
    </w:p>
    <w:p>
      <w:pPr>
        <w:spacing w:after="60"/>
        <w:jc w:val="center"/>
      </w:pPr>
      <w:r>
        <w:rPr>
          <w:rFonts w:ascii="Aptos" w:hAnsi="Aptos"/>
          <w:b w:val="0"/>
          <w:i w:val="0"/>
          <w:color w:val="687970"/>
          <w:sz w:val="20"/>
        </w:rPr>
        <w:t>Autores: Belazquez y Serrano</w:t>
      </w:r>
    </w:p>
    <w:p>
      <w:pPr>
        <w:spacing w:after="60"/>
        <w:jc w:val="center"/>
      </w:pPr>
      <w:r>
        <w:rPr>
          <w:rFonts w:ascii="Aptos" w:hAnsi="Aptos"/>
          <w:b w:val="0"/>
          <w:i w:val="0"/>
          <w:color w:val="687970"/>
          <w:sz w:val="20"/>
        </w:rPr>
        <w:t>Carrera: Licenciatura en Sistemas de Información</w:t>
      </w:r>
    </w:p>
    <w:p>
      <w:pPr>
        <w:spacing w:after="60"/>
        <w:jc w:val="center"/>
      </w:pPr>
      <w:r>
        <w:rPr>
          <w:rFonts w:ascii="Aptos" w:hAnsi="Aptos"/>
          <w:b w:val="0"/>
          <w:i w:val="0"/>
          <w:color w:val="687970"/>
          <w:sz w:val="20"/>
        </w:rPr>
        <w:t>Materia: Seminario de Integración</w:t>
      </w:r>
    </w:p>
    <w:p>
      <w:pPr>
        <w:spacing w:after="60"/>
        <w:jc w:val="center"/>
      </w:pPr>
      <w:r>
        <w:rPr>
          <w:rFonts w:ascii="Aptos" w:hAnsi="Aptos"/>
          <w:b w:val="0"/>
          <w:i w:val="0"/>
          <w:color w:val="687970"/>
          <w:sz w:val="20"/>
        </w:rPr>
        <w:t>Versión evaluada: Módulo 1 - 02/09/2026</w:t>
      </w:r>
    </w:p>
    <w:p>
      <w:r>
        <w:br w:type="page"/>
      </w:r>
    </w:p>
    <w:p>
      <w:pPr>
        <w:pStyle w:val="Heading1"/>
      </w:pPr>
      <w:r>
        <w:t>1. Dictamen ejecutivo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7F6EF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0E3A2E"/>
                <w:sz w:val="20"/>
              </w:rPr>
              <w:t xml:space="preserve">Resultado: </w:t>
            </w:r>
            <w:r>
              <w:rPr>
                <w:rFonts w:ascii="Aptos" w:hAnsi="Aptos"/>
                <w:b w:val="0"/>
                <w:i w:val="0"/>
                <w:color w:val="17251F"/>
                <w:sz w:val="20"/>
              </w:rPr>
              <w:t>El Módulo 1 está aprobado para demostración académica y continuidad del proyecto. No debe considerarse listo para producción hasta completar el endurecimiento de seguridad y el despliegue.</w:t>
            </w:r>
          </w:p>
        </w:tc>
      </w:tr>
    </w:tbl>
    <w:p>
      <w:pPr>
        <w:spacing w:after="40"/>
      </w:pPr>
    </w:p>
    <w:p>
      <w:r>
        <w:rPr>
          <w:rFonts w:ascii="Aptos" w:hAnsi="Aptos"/>
          <w:b w:val="0"/>
          <w:i w:val="0"/>
          <w:color w:val="17251F"/>
          <w:sz w:val="22"/>
        </w:rPr>
        <w:t>La revisión abarcó autenticación, permisos, clientes, planes, servicios, cuenta corriente, cuotas, pagos, base de datos, panel web, API REST, pruebas y calidad estática. El código evaluado corresponde al commit 815d13d de la rama main.</w:t>
      </w:r>
    </w:p>
    <w:p>
      <w:pPr>
        <w:pStyle w:val="Heading1"/>
      </w:pPr>
      <w:r>
        <w:t>2. Alcance revisado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RF-01 a RF-06: gestión comercial y cuenta corriente.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RF-29 y RF-30: autenticación y permisos por subtipo y área.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Persistencia PostgreSQL y migraciones de usuarios, clientes, servicios y facturación.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Panel web con identidad visual de Villafañe Wifi y API REST autenticada.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Pruebas automatizadas y revisión estática del código.</w:t>
      </w:r>
    </w:p>
    <w:p>
      <w:pPr>
        <w:pStyle w:val="Heading1"/>
      </w:pPr>
      <w:r>
        <w:t>3. Matriz de cumplimiento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6660"/>
        <w:gridCol w:w="1650"/>
      </w:tblGrid>
      <w:tr>
        <w:trPr>
          <w:tblHeader w:val="true"/>
        </w:trPr>
        <w:tc>
          <w:tcPr>
            <w:tcW w:type="dxa" w:w="105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Req.</w:t>
            </w:r>
          </w:p>
        </w:tc>
        <w:tc>
          <w:tcPr>
            <w:tcW w:type="dxa" w:w="666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Evidencia funcional</w:t>
            </w:r>
          </w:p>
        </w:tc>
        <w:tc>
          <w:tcPr>
            <w:tcW w:type="dxa" w:w="165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RF-01</w:t>
            </w:r>
          </w:p>
        </w:tc>
        <w:tc>
          <w:tcPr>
            <w:tcW w:type="dxa" w:w="6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Alta integral de cliente, teléfonos y primera conexión</w:t>
            </w:r>
          </w:p>
        </w:tc>
        <w:tc>
          <w:tcPr>
            <w:tcW w:type="dxa" w:w="16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Cumple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RF-02</w:t>
            </w:r>
          </w:p>
        </w:tc>
        <w:tc>
          <w:tcPr>
            <w:tcW w:type="dxa" w:w="6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Consulta, edición y baja lógica de clientes</w:t>
            </w:r>
          </w:p>
        </w:tc>
        <w:tc>
          <w:tcPr>
            <w:tcW w:type="dxa" w:w="16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Cumple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RF-03</w:t>
            </w:r>
          </w:p>
        </w:tc>
        <w:tc>
          <w:tcPr>
            <w:tcW w:type="dxa" w:w="6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Búsqueda por documento, nombre, teléfono o localidad</w:t>
            </w:r>
          </w:p>
        </w:tc>
        <w:tc>
          <w:tcPr>
            <w:tcW w:type="dxa" w:w="16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Cumple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RF-04</w:t>
            </w:r>
          </w:p>
        </w:tc>
        <w:tc>
          <w:tcPr>
            <w:tcW w:type="dxa" w:w="6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Catálogo de planes y asignación a servicios</w:t>
            </w:r>
          </w:p>
        </w:tc>
        <w:tc>
          <w:tcPr>
            <w:tcW w:type="dxa" w:w="16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Cumple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RF-05</w:t>
            </w:r>
          </w:p>
        </w:tc>
        <w:tc>
          <w:tcPr>
            <w:tcW w:type="dxa" w:w="6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Cuenta corriente, deuda y vencimientos</w:t>
            </w:r>
          </w:p>
        </w:tc>
        <w:tc>
          <w:tcPr>
            <w:tcW w:type="dxa" w:w="16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Cumple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RF-06</w:t>
            </w:r>
          </w:p>
        </w:tc>
        <w:tc>
          <w:tcPr>
            <w:tcW w:type="dxa" w:w="6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Historial de cuotas y pagos</w:t>
            </w:r>
          </w:p>
        </w:tc>
        <w:tc>
          <w:tcPr>
            <w:tcW w:type="dxa" w:w="16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Cumple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RF-29</w:t>
            </w:r>
          </w:p>
        </w:tc>
        <w:tc>
          <w:tcPr>
            <w:tcW w:type="dxa" w:w="6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Inicio y cierre de sesión</w:t>
            </w:r>
          </w:p>
        </w:tc>
        <w:tc>
          <w:tcPr>
            <w:tcW w:type="dxa" w:w="16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Cumple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RF-30</w:t>
            </w:r>
          </w:p>
        </w:tc>
        <w:tc>
          <w:tcPr>
            <w:tcW w:type="dxa" w:w="6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Acceso según administrador o área del empleado</w:t>
            </w:r>
          </w:p>
        </w:tc>
        <w:tc>
          <w:tcPr>
            <w:tcW w:type="dxa" w:w="16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Cumple</w:t>
            </w:r>
          </w:p>
        </w:tc>
      </w:tr>
    </w:tbl>
    <w:p>
      <w:pPr>
        <w:spacing w:after="40"/>
      </w:pPr>
    </w:p>
    <w:p>
      <w:pPr>
        <w:pStyle w:val="Heading1"/>
      </w:pPr>
      <w:r>
        <w:t>4. Verificaciones ejecutadas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660"/>
        <w:gridCol w:w="2500"/>
      </w:tblGrid>
      <w:tr>
        <w:trPr>
          <w:tblHeader w:val="true"/>
        </w:trPr>
        <w:tc>
          <w:tcPr>
            <w:tcW w:type="dxa" w:w="220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Control</w:t>
            </w:r>
          </w:p>
        </w:tc>
        <w:tc>
          <w:tcPr>
            <w:tcW w:type="dxa" w:w="466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Cobertura</w:t>
            </w:r>
          </w:p>
        </w:tc>
        <w:tc>
          <w:tcPr>
            <w:tcW w:type="dxa" w:w="250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Resultado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Pruebas automatizadas</w:t>
            </w:r>
          </w:p>
        </w:tc>
        <w:tc>
          <w:tcPr>
            <w:tcW w:type="dxa" w:w="4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50 pruebas</w:t>
            </w:r>
          </w:p>
        </w:tc>
        <w:tc>
          <w:tcPr>
            <w:tcW w:type="dxa" w:w="2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Correctas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Ruff</w:t>
            </w:r>
          </w:p>
        </w:tc>
        <w:tc>
          <w:tcPr>
            <w:tcW w:type="dxa" w:w="4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Calidad estática del backend</w:t>
            </w:r>
          </w:p>
        </w:tc>
        <w:tc>
          <w:tcPr>
            <w:tcW w:type="dxa" w:w="2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Sin errores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Migraciones</w:t>
            </w:r>
          </w:p>
        </w:tc>
        <w:tc>
          <w:tcPr>
            <w:tcW w:type="dxa" w:w="4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makemigrations --check --dry-run</w:t>
            </w:r>
          </w:p>
        </w:tc>
        <w:tc>
          <w:tcPr>
            <w:tcW w:type="dxa" w:w="2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Sin cambios pendientes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Django check</w:t>
            </w:r>
          </w:p>
        </w:tc>
        <w:tc>
          <w:tcPr>
            <w:tcW w:type="dxa" w:w="4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Configuración funcional local</w:t>
            </w:r>
          </w:p>
        </w:tc>
        <w:tc>
          <w:tcPr>
            <w:tcW w:type="dxa" w:w="2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Sin errores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PostgreSQL</w:t>
            </w:r>
          </w:p>
        </w:tc>
        <w:tc>
          <w:tcPr>
            <w:tcW w:type="dxa" w:w="4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Migraciones aplicadas</w:t>
            </w:r>
          </w:p>
        </w:tc>
        <w:tc>
          <w:tcPr>
            <w:tcW w:type="dxa" w:w="2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Correcto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Inspección visual</w:t>
            </w:r>
          </w:p>
        </w:tc>
        <w:tc>
          <w:tcPr>
            <w:tcW w:type="dxa" w:w="4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Inicio de sesión y panel</w:t>
            </w:r>
          </w:p>
        </w:tc>
        <w:tc>
          <w:tcPr>
            <w:tcW w:type="dxa" w:w="2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Correcto</w:t>
            </w:r>
          </w:p>
        </w:tc>
      </w:tr>
    </w:tbl>
    <w:p>
      <w:pPr>
        <w:spacing w:after="40"/>
      </w:pPr>
    </w:p>
    <w:p>
      <w:pPr>
        <w:pStyle w:val="Heading1"/>
      </w:pPr>
      <w:r>
        <w:t>5. Hallazgos de la revisión</w:t>
      </w:r>
    </w:p>
    <w:p>
      <w:pPr>
        <w:pStyle w:val="Heading2"/>
      </w:pPr>
      <w:r>
        <w:t>5.1 Fortalezas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Separación modular por capacidades del negocio.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Lógica centralizada en servicios de aplicación orientados a objetos.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Nombres propios, mensajes y documentación mayormente en español.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Bajas lógicas y restricciones que preservan la historia comercial.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Cuenta corriente calculada sin almacenar saldos redundantes.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Misma matriz de acceso aplicada en panel y API.</w:t>
      </w:r>
    </w:p>
    <w:p>
      <w:pPr>
        <w:pStyle w:val="Heading2"/>
      </w:pPr>
      <w:r>
        <w:t>5.2 Pendientes para producción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shd w:fill="A42E3B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Prioridad</w:t>
            </w:r>
          </w:p>
        </w:tc>
        <w:tc>
          <w:tcPr>
            <w:tcW w:type="dxa" w:w="7860"/>
            <w:shd w:fill="A42E3B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Acción pendiente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Alta</w:t>
            </w:r>
          </w:p>
        </w:tc>
        <w:tc>
          <w:tcPr>
            <w:tcW w:type="dxa" w:w="7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Configurar DEBUG=False y una DJANGO_SECRET_KEY exclusiva del entorno.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Alta</w:t>
            </w:r>
          </w:p>
        </w:tc>
        <w:tc>
          <w:tcPr>
            <w:tcW w:type="dxa" w:w="7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Forzar HTTPS y habilitar cookies seguras de sesión y CSRF.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Media</w:t>
            </w:r>
          </w:p>
        </w:tc>
        <w:tc>
          <w:tcPr>
            <w:tcW w:type="dxa" w:w="7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Definir HSTS cuando el dominio y certificado estén estabilizados.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Media</w:t>
            </w:r>
          </w:p>
        </w:tc>
        <w:tc>
          <w:tcPr>
            <w:tcW w:type="dxa" w:w="7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Configurar copias de seguridad y restauración de PostgreSQL.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Media</w:t>
            </w:r>
          </w:p>
        </w:tc>
        <w:tc>
          <w:tcPr>
            <w:tcW w:type="dxa" w:w="7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Agregar integración continua para ejecutar pruebas en cada cambio.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Baja</w:t>
            </w:r>
          </w:p>
        </w:tc>
        <w:tc>
          <w:tcPr>
            <w:tcW w:type="dxa" w:w="7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Automatizar la generación mensual de cuotas mediante Celery.</w:t>
            </w:r>
          </w:p>
        </w:tc>
      </w:tr>
    </w:tbl>
    <w:p>
      <w:pPr>
        <w:spacing w:after="40"/>
      </w:pPr>
    </w:p>
    <w:p>
      <w:pPr>
        <w:pStyle w:val="Heading1"/>
      </w:pPr>
      <w:r>
        <w:t>6. Coherencia de datos y diagramas</w:t>
      </w:r>
    </w:p>
    <w:p>
      <w:r>
        <w:rPr>
          <w:rFonts w:ascii="Aptos" w:hAnsi="Aptos"/>
          <w:b w:val="0"/>
          <w:i w:val="0"/>
          <w:color w:val="17251F"/>
          <w:sz w:val="22"/>
        </w:rPr>
        <w:t>La especialización Usuario-Empleado-Administrador está implementada con clave compartida: id_usuario es simultáneamente PK y FK en los subtipos. El DER lógico debe reflejar esta decisión. Las claves principales creadas por Django se llaman id en las tablas principales; el informe académico puede usar nombres semánticos si mantiene una correspondencia explícita.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7F6EF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0E3A2E"/>
                <w:sz w:val="20"/>
              </w:rPr>
              <w:t xml:space="preserve">Importante: </w:t>
            </w:r>
            <w:r>
              <w:rPr>
                <w:rFonts w:ascii="Aptos" w:hAnsi="Aptos"/>
                <w:b w:val="0"/>
                <w:i w:val="0"/>
                <w:color w:val="17251F"/>
                <w:sz w:val="20"/>
              </w:rPr>
              <w:t>La cuota no almacena estado ni saldo. Ambos valores se derivan de la fecha de vencimiento y del pago asociado.</w:t>
            </w:r>
          </w:p>
        </w:tc>
      </w:tr>
    </w:tbl>
    <w:p>
      <w:pPr>
        <w:spacing w:after="40"/>
      </w:pPr>
    </w:p>
    <w:p>
      <w:pPr>
        <w:pStyle w:val="Heading1"/>
      </w:pPr>
      <w:r>
        <w:t>7. Límites del cierre</w:t>
      </w:r>
    </w:p>
    <w:p>
      <w:r>
        <w:rPr>
          <w:rFonts w:ascii="Aptos" w:hAnsi="Aptos"/>
          <w:b w:val="0"/>
          <w:i w:val="0"/>
          <w:color w:val="17251F"/>
          <w:sz w:val="22"/>
        </w:rPr>
        <w:t>No forman parte de este cierre las conversaciones, mensajes, WhatsApp, IA, comprobantes, OCR, tickets, reportes avanzados ni despliegue productivo. Esos componentes permanecen como módulos futuros.</w:t>
      </w:r>
    </w:p>
    <w:p>
      <w:pPr>
        <w:pStyle w:val="Heading1"/>
      </w:pPr>
      <w:r>
        <w:t>8. Lista de aceptación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El código está versionado y publicado en la rama main.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La base de datos se crea mediante migraciones reproducibles.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Las operaciones del Módulo 1 están disponibles en panel y API.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Los permisos bloquean operaciones no autorizadas.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Las pruebas y el análisis estático finalizan correctamente.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Los pendientes están identificados y no se confunden con funcionalidades terminadas.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87970"/>
        <w:sz w:val="18"/>
      </w:rPr>
      <w:t xml:space="preserve">Seminario de Integración  |  Página </w:t>
    </w:r>
    <w:r>
      <w:rPr>
        <w:rFonts w:ascii="Aptos" w:hAnsi="Aptos"/>
        <w:b w:val="0"/>
        <w:i w:val="0"/>
        <w:color w:val="68797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  <w:pBdr>
        <w:bottom w:val="single" w:sz="5" w:color="BFD8CC"/>
      </w:pBdr>
    </w:pPr>
    <w:r>
      <w:rPr>
        <w:rFonts w:ascii="Aptos" w:hAnsi="Aptos"/>
        <w:b/>
        <w:i w:val="0"/>
        <w:color w:val="687970"/>
        <w:sz w:val="17"/>
      </w:rPr>
      <w:t>VILLAFAÑE WIFI  |  REVISIÓN FINAL DEL MÓDULO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color w:val="1725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E3A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936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E3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E3A2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Aptos" w:hAnsi="Aptos"/>
      <w:b w:val="0"/>
      <w:i/>
      <w:iCs/>
      <w:color w:val="6879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274"/>
      <w:contextualSpacing/>
    </w:pPr>
    <w:rPr>
      <w:rFonts w:ascii="Aptos" w:hAnsi="Apto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274"/>
      <w:contextualSpacing/>
    </w:pPr>
    <w:rPr>
      <w:rFonts w:ascii="Aptos" w:hAnsi="Apto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