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b/>
          <w:sz w:val="32"/>
        </w:rPr>
        <w:t>Informe explicativo de los diagramas del sistema</w:t>
      </w:r>
    </w:p>
    <w:p>
      <w:pPr>
        <w:spacing w:after="300"/>
        <w:jc w:val="center"/>
      </w:pPr>
      <w:r>
        <w:rPr>
          <w:rFonts w:ascii="Calibri" w:hAnsi="Calibri"/>
          <w:b w:val="0"/>
          <w:sz w:val="22"/>
        </w:rPr>
        <w:t>Sistema de Gestión Integral y Atención al Cliente para Villafañe Wifi</w:t>
      </w:r>
    </w:p>
    <w:p>
      <w:pPr>
        <w:spacing w:after="120" w:line="276" w:lineRule="auto"/>
      </w:pPr>
      <w:r>
        <w:rPr>
          <w:rFonts w:ascii="Calibri" w:hAnsi="Calibri"/>
          <w:b w:val="0"/>
          <w:sz w:val="22"/>
        </w:rPr>
        <w:t>Este informe explica los diagramas del proyecto a grandes rasgos, pero con el nivel de detalle necesario para utilizarlos luego como base de un guion de presentación. Los diagramas representan el sistema objetivo completo: algunas funciones ya pertenecen a los módulos desarrollados y otras quedan previstas para las siguientes etapas.</w:t>
      </w:r>
    </w:p>
    <w:p>
      <w:pPr>
        <w:pStyle w:val="Heading1"/>
        <w:spacing w:before="220" w:after="100"/>
      </w:pPr>
      <w:r>
        <w:rPr>
          <w:rFonts w:ascii="Calibri" w:hAnsi="Calibri"/>
          <w:b/>
          <w:sz w:val="28"/>
        </w:rPr>
        <w:t>1. Diagrama de casos de uso general</w:t>
      </w:r>
    </w:p>
    <w:p>
      <w:pPr>
        <w:spacing w:after="120" w:line="276" w:lineRule="auto"/>
      </w:pPr>
      <w:r>
        <w:rPr>
          <w:rFonts w:ascii="Calibri" w:hAnsi="Calibri"/>
          <w:b w:val="0"/>
          <w:sz w:val="22"/>
        </w:rPr>
        <w:t>El diagrama de casos de uso general muestra qué servicios debe ofrecer el sistema y quién puede utilizarlos. No describe cómo se programa cada función; presenta la visión externa del sistema, es decir, los actores y las acciones que pueden realizar. Los actores identificados son el Cliente, el Bot de WhatsApp, la Billetera Virtual, el Empleado y el Dueño o Administrador.</w:t>
      </w:r>
    </w:p>
    <w:p>
      <w:pPr>
        <w:spacing w:after="120" w:line="276" w:lineRule="auto"/>
      </w:pPr>
      <w:r>
        <w:rPr>
          <w:rFonts w:ascii="Calibri" w:hAnsi="Calibri"/>
          <w:b w:val="0"/>
          <w:sz w:val="22"/>
        </w:rPr>
        <w:t>El cliente se vincula principalmente con la atención, la consulta de su cuenta, los comprobantes y los reclamos. El bot recibe conversaciones por WhatsApp, interpreta intenciones y puede resolver una consulta o escalarla a un empleado. El empleado interviene cuando debe atender una conversación derivada, validar comprobantes, gestionar clientes o resolver tickets. El dueño o administrador reúne las funciones de configuración y control: usuarios, planes, cuentas receptoras, reportes e indicadores.</w:t>
      </w:r>
    </w:p>
    <w:p>
      <w:pPr>
        <w:spacing w:after="120" w:line="276" w:lineRule="auto"/>
      </w:pPr>
      <w:r>
        <w:rPr>
          <w:rFonts w:ascii="Calibri" w:hAnsi="Calibri"/>
          <w:b w:val="0"/>
          <w:sz w:val="22"/>
        </w:rPr>
        <w:t>El diagrama agrupa las funciones en áreas: atención por WhatsApp; comprobantes y pagos; gestión de clientes y servicios; tickets de soporte; reportes y panel de control; y usuarios y accesos. Las relaciones «include» representan pasos que forman parte obligatoria de un proceso. Por ejemplo, validar un comprobante puede incluir actualizar la cuenta corriente. Las relaciones «extend» indican comportamientos que ocurren solo en ciertas condiciones, como escalar una conversación cuando el bot no puede resolverla o rechazar un comprobante si es inválido o duplicado.</w:t>
      </w:r>
    </w:p>
    <w:p>
      <w:pPr>
        <w:pStyle w:val="Heading1"/>
        <w:spacing w:before="220" w:after="100"/>
      </w:pPr>
      <w:r>
        <w:rPr>
          <w:rFonts w:ascii="Calibri" w:hAnsi="Calibri"/>
          <w:b/>
          <w:sz w:val="28"/>
        </w:rPr>
        <w:t>2. Caso de uso del Módulo 1: Gestión de Clientes</w:t>
      </w:r>
    </w:p>
    <w:p>
      <w:pPr>
        <w:spacing w:after="120" w:line="276" w:lineRule="auto"/>
      </w:pPr>
      <w:r>
        <w:rPr>
          <w:rFonts w:ascii="Calibri" w:hAnsi="Calibri"/>
          <w:b w:val="0"/>
          <w:sz w:val="22"/>
        </w:rPr>
        <w:t>Este diagrama desarrolla con más precisión el módulo administrativo de clientes. Sus actores son el Empleado y el Dueño o Administrador, porque ambos necesitan consultar y gestionar la información, aunque el alcance concreto de cada acción depende de los permisos asignados. El módulo reúne la información de la persona o empresa, el servicio que contrata, el plan elegido, las cuotas generadas y la situación de su cuenta.</w:t>
      </w:r>
    </w:p>
    <w:p>
      <w:pPr>
        <w:pStyle w:val="ListBullet"/>
        <w:spacing w:after="60" w:line="264" w:lineRule="auto"/>
      </w:pPr>
      <w:r>
        <w:rPr>
          <w:rFonts w:ascii="Calibri" w:hAnsi="Calibri"/>
          <w:b w:val="0"/>
          <w:sz w:val="22"/>
        </w:rPr>
        <w:t>Registrar cliente y servicio: representa el alta inicial. El proceso incluye asignar un plan de servicio, registrar los datos de conexión -como IP y MAC- y generar las cuotas correspondientes.</w:t>
      </w:r>
    </w:p>
    <w:p>
      <w:pPr>
        <w:pStyle w:val="ListBullet"/>
        <w:spacing w:after="60" w:line="264" w:lineRule="auto"/>
      </w:pPr>
      <w:r>
        <w:rPr>
          <w:rFonts w:ascii="Calibri" w:hAnsi="Calibri"/>
          <w:b w:val="0"/>
          <w:sz w:val="22"/>
        </w:rPr>
        <w:t>Buscar, editar y consultar: permite localizar al cliente y consultar su cuenta corriente o el historial de pagos. Si se encuentran datos que requieren actualización, editar cliente aparece como una extensión del proceso de búsqueda.</w:t>
      </w:r>
    </w:p>
    <w:p>
      <w:pPr>
        <w:pStyle w:val="ListBullet"/>
        <w:spacing w:after="60" w:line="264" w:lineRule="auto"/>
      </w:pPr>
      <w:r>
        <w:rPr>
          <w:rFonts w:ascii="Calibri" w:hAnsi="Calibri"/>
          <w:b w:val="0"/>
          <w:sz w:val="22"/>
        </w:rPr>
        <w:t>Baja definitiva: contempla la verificación de deuda antes de finalizar un servicio. Así, la baja no se interpreta como una simple eliminación del cliente, sino como una regla administrativa relacionada con su situación de cuenta.</w:t>
      </w:r>
    </w:p>
    <w:p>
      <w:pPr>
        <w:pStyle w:val="ListBullet"/>
        <w:spacing w:after="60" w:line="264" w:lineRule="auto"/>
      </w:pPr>
      <w:r>
        <w:rPr>
          <w:rFonts w:ascii="Calibri" w:hAnsi="Calibri"/>
          <w:b w:val="0"/>
          <w:sz w:val="22"/>
        </w:rPr>
        <w:t>Catálogo de planes: permite registrar, editar o dar de baja planes de servicio. Cuando cambia el precio, puede requerirse recalcular cuotas pendientes, por lo que el diagrama muestra esa relación como una consecuencia de la modificación.</w:t>
      </w:r>
    </w:p>
    <w:p>
      <w:pPr>
        <w:pStyle w:val="ListBullet"/>
        <w:spacing w:after="60" w:line="264" w:lineRule="auto"/>
      </w:pPr>
      <w:r>
        <w:rPr>
          <w:rFonts w:ascii="Calibri" w:hAnsi="Calibri"/>
          <w:b w:val="0"/>
          <w:sz w:val="22"/>
        </w:rPr>
        <w:t>Cuentas receptoras: permite registrar, editar o desactivar las cuentas bancarias o billeteras donde la empresa recibe pagos. Estas cuentas se usan luego al registrar una cobranza.</w:t>
      </w:r>
    </w:p>
    <w:p>
      <w:pPr>
        <w:spacing w:after="120" w:line="276" w:lineRule="auto"/>
      </w:pPr>
      <w:r>
        <w:rPr>
          <w:rFonts w:ascii="Calibri" w:hAnsi="Calibri"/>
          <w:b w:val="0"/>
          <w:sz w:val="22"/>
        </w:rPr>
        <w:t>En conjunto, el diagrama muestra que la gestión de clientes no se limita a guardar datos de contacto: conecta la contratación, la facturación, los pagos y las configuraciones que necesita el personal para atender una consulta de forma completa.</w:t>
      </w:r>
    </w:p>
    <w:p>
      <w:pPr>
        <w:pStyle w:val="Heading1"/>
        <w:spacing w:before="220" w:after="100"/>
      </w:pPr>
      <w:r>
        <w:rPr>
          <w:rFonts w:ascii="Calibri" w:hAnsi="Calibri"/>
          <w:b/>
          <w:sz w:val="28"/>
        </w:rPr>
        <w:t>3. Caso de uso del Módulo 6: Usuarios y Accesos</w:t>
      </w:r>
    </w:p>
    <w:p>
      <w:pPr>
        <w:spacing w:after="120" w:line="276" w:lineRule="auto"/>
      </w:pPr>
      <w:r>
        <w:rPr>
          <w:rFonts w:ascii="Calibri" w:hAnsi="Calibri"/>
          <w:b w:val="0"/>
          <w:sz w:val="22"/>
        </w:rPr>
        <w:t>Este diagrama se concentra en la seguridad y en la administración de las personas que utilizan el sistema. El Dueño o Administrador tiene las operaciones de gestión de cuentas, mientras que el Empleado participa principalmente como usuario autenticado del sistema. Las funciones base son iniciar sesión y cerrar sesión, que permiten controlar el acceso al panel web.</w:t>
      </w:r>
    </w:p>
    <w:p>
      <w:pPr>
        <w:pStyle w:val="ListBullet"/>
        <w:spacing w:after="60" w:line="264" w:lineRule="auto"/>
      </w:pPr>
      <w:r>
        <w:rPr>
          <w:rFonts w:ascii="Calibri" w:hAnsi="Calibri"/>
          <w:b w:val="0"/>
          <w:sz w:val="22"/>
        </w:rPr>
        <w:t>Registrar nuevo usuario: crea la cuenta de acceso. Incluye asignar el tipo de usuario y el nivel de acceso; si el usuario es un empleado, el flujo se extiende con la asignación de un área de trabajo.</w:t>
      </w:r>
    </w:p>
    <w:p>
      <w:pPr>
        <w:pStyle w:val="ListBullet"/>
        <w:spacing w:after="60" w:line="264" w:lineRule="auto"/>
      </w:pPr>
      <w:r>
        <w:rPr>
          <w:rFonts w:ascii="Calibri" w:hAnsi="Calibri"/>
          <w:b w:val="0"/>
          <w:sz w:val="22"/>
        </w:rPr>
        <w:t>Listar y buscar usuarios: permiten ubicar una cuenta existente antes de consultarla, editarla, cambiar su contraseña o desactivarla.</w:t>
      </w:r>
    </w:p>
    <w:p>
      <w:pPr>
        <w:pStyle w:val="ListBullet"/>
        <w:spacing w:after="60" w:line="264" w:lineRule="auto"/>
      </w:pPr>
      <w:r>
        <w:rPr>
          <w:rFonts w:ascii="Calibri" w:hAnsi="Calibri"/>
          <w:b w:val="0"/>
          <w:sz w:val="22"/>
        </w:rPr>
        <w:t>Editar y desactivar usuarios: cubren el mantenimiento de las cuentas. La desactivación conserva la trazabilidad del usuario, pero impide su ingreso al sistema.</w:t>
      </w:r>
    </w:p>
    <w:p>
      <w:pPr>
        <w:pStyle w:val="ListBullet"/>
        <w:spacing w:after="60" w:line="264" w:lineRule="auto"/>
      </w:pPr>
      <w:r>
        <w:rPr>
          <w:rFonts w:ascii="Calibri" w:hAnsi="Calibri"/>
          <w:b w:val="0"/>
          <w:sz w:val="22"/>
        </w:rPr>
        <w:t>Cambiar contraseña: representa una acción de seguridad. El diagrama contempla tanto el cambio solicitado por el propio usuario como la necesidad de un administrador de intervenir sobre otra cuenta.</w:t>
      </w:r>
    </w:p>
    <w:p>
      <w:pPr>
        <w:spacing w:after="120" w:line="276" w:lineRule="auto"/>
      </w:pPr>
      <w:r>
        <w:rPr>
          <w:rFonts w:ascii="Calibri" w:hAnsi="Calibri"/>
          <w:b w:val="0"/>
          <w:sz w:val="22"/>
        </w:rPr>
        <w:t>El valor de este módulo es que el acceso no queda reducido a un nombre de usuario y contraseña: también define el rol, el área y las acciones permitidas. De esta manera, las pantallas y rutas del sistema pueden limitarse según la responsabilidad de cada persona.</w:t>
      </w:r>
    </w:p>
    <w:p>
      <w:pPr>
        <w:pStyle w:val="Heading1"/>
        <w:spacing w:before="220" w:after="100"/>
      </w:pPr>
      <w:r>
        <w:rPr>
          <w:rFonts w:ascii="Calibri" w:hAnsi="Calibri"/>
          <w:b/>
          <w:sz w:val="28"/>
        </w:rPr>
        <w:t>4. Diagrama de clases</w:t>
      </w:r>
    </w:p>
    <w:p>
      <w:pPr>
        <w:spacing w:after="120" w:line="276" w:lineRule="auto"/>
      </w:pPr>
      <w:r>
        <w:rPr>
          <w:rFonts w:ascii="Calibri" w:hAnsi="Calibri"/>
          <w:b w:val="0"/>
          <w:sz w:val="22"/>
        </w:rPr>
        <w:t>El diagrama de clases presenta la estructura orientada a objetos que se utilizará en el software. Cada rectángulo representa una clase y se divide en tres partes: el nombre de la clase, sus atributos y sus métodos. Los atributos describen qué información conserva un objeto; los métodos indican las operaciones que puede ejecutar. El signo menos (-) señala atributos privados y el signo más (+) señala métodos públicos. Las clases abstractas, como Usuario y ServicioExterno, sirven de base para especializaciones y no representan por sí solas un objeto final del dominio.</w:t>
      </w:r>
    </w:p>
    <w:p>
      <w:pPr>
        <w:pStyle w:val="Heading2"/>
        <w:spacing w:before="140" w:after="100"/>
      </w:pPr>
      <w:r>
        <w:rPr>
          <w:rFonts w:ascii="Calibri" w:hAnsi="Calibri"/>
          <w:b/>
          <w:sz w:val="24"/>
        </w:rPr>
        <w:t>4.1 Clases de usuarios y permisos</w:t>
      </w:r>
    </w:p>
    <w:p>
      <w:pPr>
        <w:spacing w:after="120" w:line="276" w:lineRule="auto"/>
      </w:pPr>
      <w:r>
        <w:rPr>
          <w:rFonts w:ascii="Calibri" w:hAnsi="Calibri"/>
          <w:b w:val="0"/>
          <w:sz w:val="22"/>
        </w:rPr>
        <w:t>Usuario concentra la identidad de acceso mediante idUsuario, nombreUsuario, credencial y estado. Sus métodos permiten autenticar, cambiar contraseña, activar y desactivar una cuenta. Empleado y Administrador heredan de Usuario: Empleado agrega área, cargo, turno y fecha de ingreso, además de métodos para consultar tickets y conversaciones asignadas. Administrador agrega nivel de acceso y permisos para gestionar usuarios y planes. Esta herencia evita repetir los datos comunes y permite diferenciar responsabilidades.</w:t>
      </w:r>
    </w:p>
    <w:p>
      <w:pPr>
        <w:pStyle w:val="Heading2"/>
        <w:spacing w:before="140" w:after="100"/>
      </w:pPr>
      <w:r>
        <w:rPr>
          <w:rFonts w:ascii="Calibri" w:hAnsi="Calibri"/>
          <w:b/>
          <w:sz w:val="24"/>
        </w:rPr>
        <w:t>4.2 Clases de clientes, servicios y facturación</w:t>
      </w:r>
    </w:p>
    <w:p>
      <w:pPr>
        <w:spacing w:after="120" w:line="276" w:lineRule="auto"/>
      </w:pPr>
      <w:r>
        <w:rPr>
          <w:rFonts w:ascii="Calibri" w:hAnsi="Calibri"/>
          <w:b w:val="0"/>
          <w:sz w:val="22"/>
        </w:rPr>
        <w:t>Cliente almacena identificación, contacto, localidad, WhatsApp y estado. Sus operaciones incluyen alta, baja, suspensión, consulta de servicios, saldo pendiente e historial de pagos. Servicio representa la conexión contratada: relaciona al cliente con un plan y contiene domicilio de instalación, datos de red, vencimiento y estado. También puede cambiar de plan, darse de baja, generar cuotas y calcular su próximo vencimiento.</w:t>
      </w:r>
    </w:p>
    <w:p>
      <w:pPr>
        <w:spacing w:after="120" w:line="276" w:lineRule="auto"/>
      </w:pPr>
      <w:r>
        <w:rPr>
          <w:rFonts w:ascii="Calibri" w:hAnsi="Calibri"/>
          <w:b w:val="0"/>
          <w:sz w:val="22"/>
        </w:rPr>
        <w:t>Plan define el catálogo comercial con nombre, velocidad, precio vigente y estado; por eso dispone de operaciones para listar planes activos, cambiar precios y activar o desactivar opciones. Cuota representa cada compromiso mensual de un servicio, con período, monto, emisión y vencimiento; puede marcarse como pagada o vencida. Pago registra el cobro, su importe, fecha, medio y cuenta receptora. CuentaReceptora define los datos de la cuenta bancaria o billetera utilizada para cobrar. Estas clases separan el servicio contratado, la deuda generada y el pago realizado para conservar el historial.</w:t>
      </w:r>
    </w:p>
    <w:p>
      <w:pPr>
        <w:pStyle w:val="Heading2"/>
        <w:spacing w:before="140" w:after="100"/>
      </w:pPr>
      <w:r>
        <w:rPr>
          <w:rFonts w:ascii="Calibri" w:hAnsi="Calibri"/>
          <w:b/>
          <w:sz w:val="24"/>
        </w:rPr>
        <w:t>4.3 Clases de atención, comprobantes y soporte</w:t>
      </w:r>
    </w:p>
    <w:p>
      <w:pPr>
        <w:spacing w:after="120" w:line="276" w:lineRule="auto"/>
      </w:pPr>
      <w:r>
        <w:rPr>
          <w:rFonts w:ascii="Calibri" w:hAnsi="Calibri"/>
          <w:b w:val="0"/>
          <w:sz w:val="22"/>
        </w:rPr>
        <w:t>Conversacion agrupa el intercambio de WhatsApp con un cliente y guarda fechas, estado, modo de atención y empleado asignado. Mensaje representa cada comunicación individual, con contenido, archivo adjunto, emisor y estado de envío. Comprobante almacena el archivo recibido y los datos extraídos por OCR, como monto, fecha y confianza, además del resultado de validación. Ticket representa un reclamo o solicitud de soporte asociado a una conversación y a un servicio; permite asignar responsable, resolver, cerrar y agregar notas. NotaInterna guarda el seguimiento realizado por los usuarios dentro de un ticket.</w:t>
      </w:r>
    </w:p>
    <w:p>
      <w:pPr>
        <w:pStyle w:val="Heading2"/>
        <w:spacing w:before="140" w:after="100"/>
      </w:pPr>
      <w:r>
        <w:rPr>
          <w:rFonts w:ascii="Calibri" w:hAnsi="Calibri"/>
          <w:b/>
          <w:sz w:val="24"/>
        </w:rPr>
        <w:t>4.4 Servicios externos y relaciones del diagrama de clases</w:t>
      </w:r>
    </w:p>
    <w:p>
      <w:pPr>
        <w:spacing w:after="120" w:line="276" w:lineRule="auto"/>
      </w:pPr>
      <w:r>
        <w:rPr>
          <w:rFonts w:ascii="Calibri" w:hAnsi="Calibri"/>
          <w:b w:val="0"/>
          <w:sz w:val="22"/>
        </w:rPr>
        <w:t>ServicioExterno es una clase abstracta para adaptadores de integración. OCRService procesa imágenes y extrae datos; WhatsAppService envía y recibe mensajes; IAService interpreta intenciones y genera respuestas; y NotificacionService centraliza avisos de pagos, vencimientos y tickets. Las relaciones del diagrama muestran, entre otras, que un cliente puede tener varios servicios, que un servicio utiliza un plan y genera varias cuotas, y que una cuota puede vincularse con un pago. También muestran la herencia de Usuario hacia Empleado y Administrador, y de ServicioExterno hacia los servicios de OCR, WhatsApp e inteligencia artificial.</w:t>
      </w:r>
    </w:p>
    <w:p>
      <w:pPr>
        <w:pStyle w:val="Heading1"/>
        <w:spacing w:before="220" w:after="100"/>
      </w:pPr>
      <w:r>
        <w:rPr>
          <w:rFonts w:ascii="Calibri" w:hAnsi="Calibri"/>
          <w:b/>
          <w:sz w:val="28"/>
        </w:rPr>
        <w:t>5. DER modelo lógico</w:t>
      </w:r>
    </w:p>
    <w:p>
      <w:pPr>
        <w:spacing w:after="120" w:line="276" w:lineRule="auto"/>
      </w:pPr>
      <w:r>
        <w:rPr>
          <w:rFonts w:ascii="Calibri" w:hAnsi="Calibri"/>
          <w:b w:val="0"/>
          <w:sz w:val="22"/>
        </w:rPr>
        <w:t>El DER lógico traduce las entidades del negocio a tablas de MariaDB. Cada tabla contiene columnas, tipos de dato y restricciones. La clave primaria (PK) identifica de manera única cada registro y la clave foránea (FK) conecta una tabla con otra. Las columnas NOT NULL indican información obligatoria, UNIQUE evita duplicados y AUTO_INCREMENT permite generar identificadores automáticamente. A continuación se describe la función de cada tabla.</w:t>
      </w:r>
    </w:p>
    <w:p>
      <w:pPr>
        <w:pStyle w:val="Heading2"/>
        <w:spacing w:before="140" w:after="100"/>
      </w:pPr>
      <w:r>
        <w:rPr>
          <w:rFonts w:ascii="Calibri" w:hAnsi="Calibri"/>
          <w:b/>
          <w:sz w:val="24"/>
        </w:rPr>
        <w:t>5.1 Tablas administrativas y comerciales</w:t>
      </w:r>
    </w:p>
    <w:p>
      <w:pPr>
        <w:pStyle w:val="ListBullet"/>
        <w:spacing w:after="60" w:line="264" w:lineRule="auto"/>
      </w:pPr>
      <w:r>
        <w:rPr>
          <w:rFonts w:ascii="Calibri" w:hAnsi="Calibri"/>
          <w:b w:val="0"/>
          <w:sz w:val="22"/>
        </w:rPr>
        <w:t>plan: almacena id_plan, nombre, velocidad, precio_vigente y estado. Es el catálogo de planes disponibles y se relaciona con servicio porque un plan puede contratarse en varios servicios.</w:t>
      </w:r>
    </w:p>
    <w:p>
      <w:pPr>
        <w:pStyle w:val="ListBullet"/>
        <w:spacing w:after="60" w:line="264" w:lineRule="auto"/>
      </w:pPr>
      <w:r>
        <w:rPr>
          <w:rFonts w:ascii="Calibri" w:hAnsi="Calibri"/>
          <w:b w:val="0"/>
          <w:sz w:val="22"/>
        </w:rPr>
        <w:t>cliente: contiene id_cliente, documento, nombre o razón social, tipo de cliente, datos de contacto, localidad, WhatsApp y estado. Es la entidad que identifica a quien contrata el servicio.</w:t>
      </w:r>
    </w:p>
    <w:p>
      <w:pPr>
        <w:pStyle w:val="ListBullet"/>
        <w:spacing w:after="60" w:line="264" w:lineRule="auto"/>
      </w:pPr>
      <w:r>
        <w:rPr>
          <w:rFonts w:ascii="Calibri" w:hAnsi="Calibri"/>
          <w:b w:val="0"/>
          <w:sz w:val="22"/>
        </w:rPr>
        <w:t>servicio: guarda id_servicio, id_plan e id_cliente, además del domicilio de instalación, vencimiento, IP, MAC, fecha de alta y estado. Vincula a cada cliente con el plan contratado y con su instalación concreta.</w:t>
      </w:r>
    </w:p>
    <w:p>
      <w:pPr>
        <w:pStyle w:val="ListBullet"/>
        <w:spacing w:after="60" w:line="264" w:lineRule="auto"/>
      </w:pPr>
      <w:r>
        <w:rPr>
          <w:rFonts w:ascii="Calibri" w:hAnsi="Calibri"/>
          <w:b w:val="0"/>
          <w:sz w:val="22"/>
        </w:rPr>
        <w:t>cuota: registra id_cuota, id_servicio, id_pago, período, monto, fecha de emisión y vencimiento. Cada cuota corresponde a un servicio y puede quedar asociada a un pago cuando se cancela.</w:t>
      </w:r>
    </w:p>
    <w:p>
      <w:pPr>
        <w:pStyle w:val="ListBullet"/>
        <w:spacing w:after="60" w:line="264" w:lineRule="auto"/>
      </w:pPr>
      <w:r>
        <w:rPr>
          <w:rFonts w:ascii="Calibri" w:hAnsi="Calibri"/>
          <w:b w:val="0"/>
          <w:sz w:val="22"/>
        </w:rPr>
        <w:t>pago: registra id_pago, id_comprobante, id_cuenta, fecha, monto_total y medio_pago. Representa el cobro efectivo y permite saber de qué comprobante provino y en qué cuenta se acreditó.</w:t>
      </w:r>
    </w:p>
    <w:p>
      <w:pPr>
        <w:pStyle w:val="ListBullet"/>
        <w:spacing w:after="60" w:line="264" w:lineRule="auto"/>
      </w:pPr>
      <w:r>
        <w:rPr>
          <w:rFonts w:ascii="Calibri" w:hAnsi="Calibri"/>
          <w:b w:val="0"/>
          <w:sz w:val="22"/>
        </w:rPr>
        <w:t>cuenta_receptora: contiene id_cuenta, nombre, tipo, identificador y estado. Guarda los datos de una cuenta bancaria o billetera virtual habilitada para recibir pagos.</w:t>
      </w:r>
    </w:p>
    <w:p>
      <w:pPr>
        <w:pStyle w:val="Heading2"/>
        <w:spacing w:before="140" w:after="100"/>
      </w:pPr>
      <w:r>
        <w:rPr>
          <w:rFonts w:ascii="Calibri" w:hAnsi="Calibri"/>
          <w:b/>
          <w:sz w:val="24"/>
        </w:rPr>
        <w:t>5.2 Tablas de usuarios y control de acceso</w:t>
      </w:r>
    </w:p>
    <w:p>
      <w:pPr>
        <w:pStyle w:val="ListBullet"/>
        <w:spacing w:after="60" w:line="264" w:lineRule="auto"/>
      </w:pPr>
      <w:r>
        <w:rPr>
          <w:rFonts w:ascii="Calibri" w:hAnsi="Calibri"/>
          <w:b w:val="0"/>
          <w:sz w:val="22"/>
        </w:rPr>
        <w:t>usuario: almacena id_usuario, nombre_usuario, credencial y estado. Es la tabla base de autenticación y la credencial se conserva como hash, no como contraseña visible.</w:t>
      </w:r>
    </w:p>
    <w:p>
      <w:pPr>
        <w:pStyle w:val="ListBullet"/>
        <w:spacing w:after="60" w:line="264" w:lineRule="auto"/>
      </w:pPr>
      <w:r>
        <w:rPr>
          <w:rFonts w:ascii="Calibri" w:hAnsi="Calibri"/>
          <w:b w:val="0"/>
          <w:sz w:val="22"/>
        </w:rPr>
        <w:t>empleado: usa id_empleado como PK y FK de usuario, y agrega área, cargo, turno y fecha de ingreso. Expresa la especialización de un usuario que trabaja en la operación diaria.</w:t>
      </w:r>
    </w:p>
    <w:p>
      <w:pPr>
        <w:pStyle w:val="ListBullet"/>
        <w:spacing w:after="60" w:line="264" w:lineRule="auto"/>
      </w:pPr>
      <w:r>
        <w:rPr>
          <w:rFonts w:ascii="Calibri" w:hAnsi="Calibri"/>
          <w:b w:val="0"/>
          <w:sz w:val="22"/>
        </w:rPr>
        <w:t>administrador: también usa id_administrador como PK y FK de usuario. Incorpora nivel de acceso y permisos para gestionar usuarios y configurar planes.</w:t>
      </w:r>
    </w:p>
    <w:p>
      <w:pPr>
        <w:pStyle w:val="Heading2"/>
        <w:spacing w:before="140" w:after="100"/>
      </w:pPr>
      <w:r>
        <w:rPr>
          <w:rFonts w:ascii="Calibri" w:hAnsi="Calibri"/>
          <w:b/>
          <w:sz w:val="24"/>
        </w:rPr>
        <w:t>5.3 Tablas de atención, comprobantes y soporte</w:t>
      </w:r>
    </w:p>
    <w:p>
      <w:pPr>
        <w:pStyle w:val="ListBullet"/>
        <w:spacing w:after="60" w:line="264" w:lineRule="auto"/>
      </w:pPr>
      <w:r>
        <w:rPr>
          <w:rFonts w:ascii="Calibri" w:hAnsi="Calibri"/>
          <w:b w:val="0"/>
          <w:sz w:val="22"/>
        </w:rPr>
        <w:t>conversacion: registra id_conversacion, id_cliente, id_empleado, número de WhatsApp, fechas, estado y modo de atención. Permite identificar quién inició el chat y si fue atendido por bot o empleado.</w:t>
      </w:r>
    </w:p>
    <w:p>
      <w:pPr>
        <w:pStyle w:val="ListBullet"/>
        <w:spacing w:after="60" w:line="264" w:lineRule="auto"/>
      </w:pPr>
      <w:r>
        <w:rPr>
          <w:rFonts w:ascii="Calibri" w:hAnsi="Calibri"/>
          <w:b w:val="0"/>
          <w:sz w:val="22"/>
        </w:rPr>
        <w:t>mensaje: guarda id_mensaje, id_conversacion, id_usuario, fecha, tipo, contenido, adjunto, emisor y estado de envío. Cada mensaje pertenece a una conversación y puede tener como emisor al cliente, al bot o a un usuario interno.</w:t>
      </w:r>
    </w:p>
    <w:p>
      <w:pPr>
        <w:pStyle w:val="ListBullet"/>
        <w:spacing w:after="60" w:line="264" w:lineRule="auto"/>
      </w:pPr>
      <w:r>
        <w:rPr>
          <w:rFonts w:ascii="Calibri" w:hAnsi="Calibri"/>
          <w:b w:val="0"/>
          <w:sz w:val="22"/>
        </w:rPr>
        <w:t>comprobante: contiene id_comprobante, id_mensaje, id_usuario, hash del archivo, datos extraídos por OCR y estado de validación. Conserva el resultado de la revisión y evita procesar comprobantes duplicados.</w:t>
      </w:r>
    </w:p>
    <w:p>
      <w:pPr>
        <w:pStyle w:val="ListBullet"/>
        <w:spacing w:after="60" w:line="264" w:lineRule="auto"/>
      </w:pPr>
      <w:r>
        <w:rPr>
          <w:rFonts w:ascii="Calibri" w:hAnsi="Calibri"/>
          <w:b w:val="0"/>
          <w:sz w:val="22"/>
        </w:rPr>
        <w:t>ticket: registra id_ticket, id_conversacion, id_servicio, id_empleado, fechas, tipo, descripción y estado. Relaciona el reclamo con el chat que lo originó, el servicio afectado y el responsable asignado.</w:t>
      </w:r>
    </w:p>
    <w:p>
      <w:pPr>
        <w:pStyle w:val="ListBullet"/>
        <w:spacing w:after="60" w:line="264" w:lineRule="auto"/>
      </w:pPr>
      <w:r>
        <w:rPr>
          <w:rFonts w:ascii="Calibri" w:hAnsi="Calibri"/>
          <w:b w:val="0"/>
          <w:sz w:val="22"/>
        </w:rPr>
        <w:t>nota_interna: almacena id_nota, id_ticket, id_usuario, fecha y contenido. Mantiene el historial interno de acciones y comentarios sobre un ticket.</w:t>
      </w:r>
    </w:p>
    <w:p>
      <w:pPr>
        <w:pStyle w:val="Heading2"/>
        <w:spacing w:before="140" w:after="100"/>
      </w:pPr>
      <w:r>
        <w:rPr>
          <w:rFonts w:ascii="Calibri" w:hAnsi="Calibri"/>
          <w:b/>
          <w:sz w:val="24"/>
        </w:rPr>
        <w:t>5.4 Relaciones principales del DER</w:t>
      </w:r>
    </w:p>
    <w:p>
      <w:pPr>
        <w:spacing w:after="120" w:line="276" w:lineRule="auto"/>
      </w:pPr>
      <w:r>
        <w:rPr>
          <w:rFonts w:ascii="Calibri" w:hAnsi="Calibri"/>
          <w:b w:val="0"/>
          <w:sz w:val="22"/>
        </w:rPr>
        <w:t>Las relaciones más importantes son: un cliente puede tener varios servicios y cada servicio pertenece a un solo cliente; un plan puede estar asociado a varios servicios y cada servicio utiliza un plan; un servicio genera varias cuotas; un pago puede cancelar una o más cuotas; una cuenta receptora puede recibir muchos pagos; y un usuario puede especializarse en empleado o administrador. En el área de atención, un cliente puede iniciar varias conversaciones, una conversación contiene varios mensajes, y un ticket puede estar relacionado con una conversación, un servicio y un empleado. Finalmente, un ticket puede reunir varias notas internas registradas por distintos usuarios. Estas relaciones permiten conservar la trazabilidad completa sin repetir información en tablas independientes.</w:t>
      </w:r>
    </w:p>
    <w:p>
      <w:pPr>
        <w:pStyle w:val="Heading1"/>
        <w:spacing w:before="220" w:after="100"/>
      </w:pPr>
      <w:r>
        <w:rPr>
          <w:rFonts w:ascii="Calibri" w:hAnsi="Calibri"/>
          <w:b/>
          <w:sz w:val="28"/>
        </w:rPr>
        <w:t>6. Diagrama de secuencia del Módulo 1: Registrar Cliente y Servicio</w:t>
      </w:r>
    </w:p>
    <w:p>
      <w:pPr>
        <w:spacing w:after="120" w:line="276" w:lineRule="auto"/>
      </w:pPr>
      <w:r>
        <w:rPr>
          <w:rFonts w:ascii="Calibri" w:hAnsi="Calibri"/>
          <w:b w:val="0"/>
          <w:sz w:val="22"/>
        </w:rPr>
        <w:t>El diagrama de secuencia explica el comportamiento temporal del caso de uso de alta de cliente y servicio. A diferencia del caso de uso, que indica qué se puede hacer, el diagrama de secuencia muestra en qué orden colaboran las partes internas. Los participantes son el Empleado o Administrador, el Panel Web, ControladorClientes, ServicioClientes, ServicioFacturacion y la Base de Datos. Las líneas verticales representan la vida de cada participante y las flechas representan mensajes o respuestas.</w:t>
      </w:r>
    </w:p>
    <w:p>
      <w:pPr>
        <w:spacing w:after="120" w:line="276" w:lineRule="auto"/>
      </w:pPr>
      <w:r>
        <w:rPr>
          <w:rFonts w:ascii="Calibri" w:hAnsi="Calibri"/>
          <w:b w:val="0"/>
          <w:sz w:val="22"/>
        </w:rPr>
        <w:t>El flujo comienza cuando el usuario completa el formulario de alta. El panel envía la solicitud al controlador, que delega el registro en ServicioClientes. Antes de guardar, el servicio consulta la base de datos para verificar que no exista un cliente con el mismo tipo y número de documento. El bloque alternativo «alt» separa dos posibilidades: si el cliente ya existe, se genera el error de DNI duplicado y el panel informa el problema; si no existe, continúa el flujo normal.</w:t>
      </w:r>
    </w:p>
    <w:p>
      <w:pPr>
        <w:spacing w:after="120" w:line="276" w:lineRule="auto"/>
      </w:pPr>
      <w:r>
        <w:rPr>
          <w:rFonts w:ascii="Calibri" w:hAnsi="Calibri"/>
          <w:b w:val="0"/>
          <w:sz w:val="22"/>
        </w:rPr>
        <w:t>En el flujo normal, se guarda primero el cliente y se obtiene su identificador. Luego se guarda el servicio asociado con su plan y datos de instalación. Después, ServicioFacturacion genera las cuotas mensuales y persiste al menos la cuota del período actual. Finalmente, las respuestas regresan por las mismas capas hasta el panel, que redirige a la ficha del cliente y muestra la confirmación. El diagrama deja claro que el alta implica datos comerciales, servicio y facturación, no solo el registro de una persona.</w:t>
      </w:r>
    </w:p>
    <w:p>
      <w:pPr>
        <w:pStyle w:val="Heading1"/>
        <w:spacing w:before="220" w:after="100"/>
      </w:pPr>
      <w:r>
        <w:rPr>
          <w:rFonts w:ascii="Calibri" w:hAnsi="Calibri"/>
          <w:b/>
          <w:sz w:val="28"/>
        </w:rPr>
        <w:t>7. Diagrama de secuencia del Módulo 6: Registrar Usuario y Asignar Rol</w:t>
      </w:r>
    </w:p>
    <w:p>
      <w:pPr>
        <w:spacing w:after="120" w:line="276" w:lineRule="auto"/>
      </w:pPr>
      <w:r>
        <w:rPr>
          <w:rFonts w:ascii="Calibri" w:hAnsi="Calibri"/>
          <w:b w:val="0"/>
          <w:sz w:val="22"/>
        </w:rPr>
        <w:t>Este diagrama describe la creación de una cuenta de acceso y su perfil. Participan el Dueño o Administrador, el Panel Web, ControladorUsuarios, ServicioUsuarios, ServicioSeguridad y la Base de Datos. El administrador completa el formulario con datos, credenciales, tipo de usuario y la información específica del rol. El panel envía la solicitud al controlador y este delega el proceso en ServicioUsuarios.</w:t>
      </w:r>
    </w:p>
    <w:p>
      <w:pPr>
        <w:spacing w:after="120" w:line="276" w:lineRule="auto"/>
      </w:pPr>
      <w:r>
        <w:rPr>
          <w:rFonts w:ascii="Calibri" w:hAnsi="Calibri"/>
          <w:b w:val="0"/>
          <w:sz w:val="22"/>
        </w:rPr>
        <w:t>ServicioUsuarios primero consulta la base de datos para verificar si el nombre de usuario ya está ocupado. El bloque «alt» muestra las dos ramas: en caso de duplicado se devuelve un error y el panel lo comunica al administrador; si el nombre está disponible, se continúa con la creación. En esa segunda rama, ServicioSeguridad transforma la contraseña en un hash mediante bcrypt o password_hash. Esto evita almacenar la contraseña original en la base de datos.</w:t>
      </w:r>
    </w:p>
    <w:p>
      <w:pPr>
        <w:spacing w:after="120" w:line="276" w:lineRule="auto"/>
      </w:pPr>
      <w:r>
        <w:rPr>
          <w:rFonts w:ascii="Calibri" w:hAnsi="Calibri"/>
          <w:b w:val="0"/>
          <w:sz w:val="22"/>
        </w:rPr>
        <w:t>Luego se guarda el registro principal de usuario con su nombre, credencial protegida y estado activo. Una vez obtenido el id_usuario, se guarda el perfil: si es empleado se registran área, cargo y turno; si es administrador se registran los permisos correspondientes. Por último, el sistema devuelve la confirmación y el panel redirige al detalle del usuario creado. El flujo muestra que la seguridad, la persistencia y la asignación de rol son partes de una única operación controlada.</w:t>
      </w:r>
    </w:p>
    <w:p>
      <w:pPr>
        <w:pStyle w:val="Heading1"/>
        <w:spacing w:before="220" w:after="100"/>
      </w:pPr>
      <w:r>
        <w:rPr>
          <w:rFonts w:ascii="Calibri" w:hAnsi="Calibri"/>
          <w:b/>
          <w:sz w:val="28"/>
        </w:rPr>
        <w:t>8. Relación entre los diagramas</w:t>
      </w:r>
    </w:p>
    <w:p>
      <w:pPr>
        <w:spacing w:after="120" w:line="276" w:lineRule="auto"/>
      </w:pPr>
      <w:r>
        <w:rPr>
          <w:rFonts w:ascii="Calibri" w:hAnsi="Calibri"/>
          <w:b w:val="0"/>
          <w:sz w:val="22"/>
        </w:rPr>
        <w:t>Los diagramas se complementan. El caso de uso general define el alcance completo y los casos de uso de los módulos 1 y 6 profundizan las funciones más cercanas al avance actual. El diagrama de clases describe las responsabilidades del software; el DER lógico muestra cómo se persistirá esa información en tablas y relaciones; y los diagramas de secuencia explican cómo se mueven los datos en dos procesos importantes. Esta trazabilidad permite que los requisitos, la base de datos y la implementación mantengan una misma lógica.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