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44"/>
        </w:rPr>
        <w:t>INFORME DE EVOLUCIÓN DE DISEÑO</w:t>
      </w:r>
    </w:p>
    <w:p>
      <w:pPr>
        <w:spacing w:before="0" w:after="360"/>
        <w:jc w:val="center"/>
      </w:pPr>
      <w:r>
        <w:rPr>
          <w:rFonts w:ascii="Calibri" w:hAnsi="Calibri"/>
          <w:i/>
          <w:color w:val="2B6CB0"/>
          <w:sz w:val="24"/>
        </w:rPr>
        <w:t>Refinamiento de Requerimientos Funcionales y Actualización de Modelos de Dominio</w:t>
        <w:br/>
        <w:t>Proyecto: Sistema Villafañe Wifi — Módulo 2: Atención por WhatsApp y Notificaciones</w:t>
      </w:r>
    </w:p>
    <w:tbl>
      <w:tblPr>
        <w:tblW w:type="auto" w:w="0"/>
        <w:jc w:val="center"/>
        <w:tblLook w:firstColumn="1" w:firstRow="1" w:lastColumn="0" w:lastRow="0" w:noHBand="0" w:noVBand="1" w:val="04A0"/>
      </w:tblPr>
      <w:tblGrid>
        <w:gridCol w:w="4680"/>
        <w:gridCol w:w="4680"/>
      </w:tblGrid>
      <w:tr>
        <w:tc>
          <w:tcPr>
            <w:tcW w:type="dxa" w:w="2880"/>
            <w:shd w:fill="EDF2F7"/>
          </w:tcPr>
          <w:p>
            <w:pPr>
              <w:spacing w:before="40" w:after="40"/>
            </w:pPr>
            <w:r>
              <w:rPr>
                <w:rFonts w:ascii="Calibri" w:hAnsi="Calibri"/>
                <w:b/>
                <w:color w:val="1A365D"/>
                <w:sz w:val="20"/>
              </w:rPr>
              <w:t>Proyecto:</w:t>
            </w:r>
          </w:p>
        </w:tc>
        <w:tc>
          <w:tcPr>
            <w:tcW w:type="dxa" w:w="6480"/>
            <w:shd w:fill="FFFFFF"/>
          </w:tcPr>
          <w:p>
            <w:pPr>
              <w:spacing w:before="40" w:after="40"/>
            </w:pPr>
            <w:r>
              <w:rPr>
                <w:rFonts w:ascii="Calibri" w:hAnsi="Calibri"/>
                <w:color w:val="2D3748"/>
                <w:sz w:val="20"/>
              </w:rPr>
              <w:t>Sistema de Gestión y Atención — Villafañe Wifi</w:t>
            </w:r>
          </w:p>
        </w:tc>
      </w:tr>
      <w:tr>
        <w:tc>
          <w:tcPr>
            <w:tcW w:type="dxa" w:w="2880"/>
            <w:shd w:fill="EDF2F7"/>
          </w:tcPr>
          <w:p>
            <w:pPr>
              <w:spacing w:before="40" w:after="40"/>
            </w:pPr>
            <w:r>
              <w:rPr>
                <w:rFonts w:ascii="Calibri" w:hAnsi="Calibri"/>
                <w:b/>
                <w:color w:val="1A365D"/>
                <w:sz w:val="20"/>
              </w:rPr>
              <w:t>Ciclo de Vida:</w:t>
            </w:r>
          </w:p>
        </w:tc>
        <w:tc>
          <w:tcPr>
            <w:tcW w:type="dxa" w:w="6480"/>
            <w:shd w:fill="FFFFFF"/>
          </w:tcPr>
          <w:p>
            <w:pPr>
              <w:spacing w:before="40" w:after="40"/>
            </w:pPr>
            <w:r>
              <w:rPr>
                <w:rFonts w:ascii="Calibri" w:hAnsi="Calibri"/>
                <w:color w:val="2D3748"/>
                <w:sz w:val="20"/>
              </w:rPr>
              <w:t>Incremental e Iterativo (Sommerville / Pressman)</w:t>
            </w:r>
          </w:p>
        </w:tc>
      </w:tr>
      <w:tr>
        <w:tc>
          <w:tcPr>
            <w:tcW w:type="dxa" w:w="2880"/>
            <w:shd w:fill="EDF2F7"/>
          </w:tcPr>
          <w:p>
            <w:pPr>
              <w:spacing w:before="40" w:after="40"/>
            </w:pPr>
            <w:r>
              <w:rPr>
                <w:rFonts w:ascii="Calibri" w:hAnsi="Calibri"/>
                <w:b/>
                <w:color w:val="1A365D"/>
                <w:sz w:val="20"/>
              </w:rPr>
              <w:t>Fase y Módulos:</w:t>
            </w:r>
          </w:p>
        </w:tc>
        <w:tc>
          <w:tcPr>
            <w:tcW w:type="dxa" w:w="6480"/>
            <w:shd w:fill="FFFFFF"/>
          </w:tcPr>
          <w:p>
            <w:pPr>
              <w:spacing w:before="40" w:after="40"/>
            </w:pPr>
            <w:r>
              <w:rPr>
                <w:rFonts w:ascii="Calibri" w:hAnsi="Calibri"/>
                <w:color w:val="2D3748"/>
                <w:sz w:val="20"/>
              </w:rPr>
              <w:t>Fase 2 — Cierre de Módulo 2 (Atención WhatsApp / IA / Notificaciones)</w:t>
            </w:r>
          </w:p>
        </w:tc>
      </w:tr>
      <w:tr>
        <w:tc>
          <w:tcPr>
            <w:tcW w:type="dxa" w:w="2880"/>
            <w:shd w:fill="EDF2F7"/>
          </w:tcPr>
          <w:p>
            <w:pPr>
              <w:spacing w:before="40" w:after="40"/>
            </w:pPr>
            <w:r>
              <w:rPr>
                <w:rFonts w:ascii="Calibri" w:hAnsi="Calibri"/>
                <w:b/>
                <w:color w:val="1A365D"/>
                <w:sz w:val="20"/>
              </w:rPr>
              <w:t>Fecha de Revisión:</w:t>
            </w:r>
          </w:p>
        </w:tc>
        <w:tc>
          <w:tcPr>
            <w:tcW w:type="dxa" w:w="6480"/>
            <w:shd w:fill="FFFFFF"/>
          </w:tcPr>
          <w:p>
            <w:pPr>
              <w:spacing w:before="40" w:after="40"/>
            </w:pPr>
            <w:r>
              <w:rPr>
                <w:rFonts w:ascii="Calibri" w:hAnsi="Calibri"/>
                <w:color w:val="2D3748"/>
                <w:sz w:val="20"/>
              </w:rPr>
              <w:t>Septiembre 2026 — Hito de Entrega Avance 2</w:t>
            </w:r>
          </w:p>
        </w:tc>
      </w:tr>
    </w:tbl>
    <w:p>
      <w:pPr>
        <w:spacing w:after="120"/>
      </w:pPr>
    </w:p>
    <w:p>
      <w:pPr>
        <w:keepNext/>
        <w:spacing w:before="320" w:after="120"/>
      </w:pPr>
      <w:r>
        <w:rPr>
          <w:rFonts w:ascii="Calibri" w:hAnsi="Calibri"/>
          <w:b/>
          <w:color w:val="1A365D"/>
          <w:sz w:val="30"/>
        </w:rPr>
        <w:t>1. Propósito y Justificación Metodológica</w:t>
      </w:r>
    </w:p>
    <w:p>
      <w:pPr>
        <w:spacing w:before="0" w:after="100" w:line="276" w:lineRule="auto"/>
      </w:pPr>
      <w:r>
        <w:rPr>
          <w:rFonts w:ascii="Calibri" w:hAnsi="Calibri"/>
          <w:i w:val="0"/>
          <w:color w:val="2D3748"/>
          <w:sz w:val="22"/>
        </w:rPr>
        <w:t>El presente informe documenta formalmente las razones técnicas, operativas y de ingeniería de software que motivaron la revisión y actualización de los diagramas del sistema (Diagrama de Entidad-Relación Conceptual, Diagrama de Entidad-Relación Lógico y Diagrama de Clases de Diseño).</w:t>
      </w:r>
    </w:p>
    <w:p>
      <w:pPr>
        <w:spacing w:before="0" w:after="100" w:line="276" w:lineRule="auto"/>
      </w:pPr>
      <w:r>
        <w:rPr>
          <w:rFonts w:ascii="Calibri" w:hAnsi="Calibri"/>
          <w:i w:val="0"/>
          <w:color w:val="2D3748"/>
          <w:sz w:val="22"/>
        </w:rPr>
        <w:t>Bajo el modelo de proceso adoptado por la cátedra —el Ciclo de Vida Incremental e Iterativo—, cada incremento del sistema atraviesa una fase rigurosa de análisis de requerimientos en profundidad previa a su codificación definitiva. Durante la especificación formal y el análisis detallado de los Requerimientos Funcionales del Módulo 2 (RF-10 a RF-18, correspondientes a la atención automatizada vía WhatsApp, recepción inteligente de comprobantes y gestión preventiva de cobros), el equipo de desarrollo detectó que el modelado preliminar concebido en la Fase 1 presentaba vacíos semánticos y omisiones estructurales que no permitían soportar con fidelidad la operativa real de negocio.</w:t>
      </w:r>
    </w:p>
    <w:p>
      <w:pPr>
        <w:spacing w:before="0" w:after="100" w:line="276" w:lineRule="auto"/>
      </w:pPr>
      <w:r>
        <w:rPr>
          <w:rFonts w:ascii="Calibri" w:hAnsi="Calibri"/>
          <w:i w:val="0"/>
          <w:color w:val="2D3748"/>
          <w:sz w:val="22"/>
        </w:rPr>
        <w:t>En estricto cumplimiento de los principios de diseño de software y trazabilidad (Requerimientos → Modelos de Análisis/Diseño → Código Fuente → Casos de Prueba), se procedió a adecuar y perfeccionar los diagramas antes de consolidar la arquitectura de implementación, asegurando un modelo robusto, libre de deuda técnica y normalizado en Tercera Forma Normal (3FN).</w:t>
      </w:r>
    </w:p>
    <w:p>
      <w:pPr>
        <w:keepNext/>
        <w:spacing w:before="320" w:after="120"/>
      </w:pPr>
      <w:r>
        <w:rPr>
          <w:rFonts w:ascii="Calibri" w:hAnsi="Calibri"/>
          <w:b/>
          <w:color w:val="1A365D"/>
          <w:sz w:val="30"/>
        </w:rPr>
        <w:t>2. Análisis de Discrepancias en Requerimientos y Causas del Refinamiento</w:t>
      </w:r>
    </w:p>
    <w:p>
      <w:pPr>
        <w:keepNext/>
        <w:spacing w:before="240" w:after="80"/>
      </w:pPr>
      <w:r>
        <w:rPr>
          <w:rFonts w:ascii="Calibri" w:hAnsi="Calibri"/>
          <w:b/>
          <w:color w:val="2B6CB0"/>
          <w:sz w:val="25"/>
        </w:rPr>
        <w:t>2.1. Canalización y Persistencia de Avisos Preventivos de Vencimiento (RF-17 y RF-18)</w:t>
      </w:r>
    </w:p>
    <w:p>
      <w:pPr>
        <w:spacing w:before="0" w:after="100" w:line="276" w:lineRule="auto"/>
      </w:pPr>
      <w:r>
        <w:rPr>
          <w:rFonts w:ascii="Calibri" w:hAnsi="Calibri"/>
          <w:i w:val="0"/>
          <w:color w:val="2D3748"/>
          <w:sz w:val="22"/>
        </w:rPr>
        <w:t>En la concepción original de la Fase 1, se asumía que los recordatorios de vencimiento de facturas y los avisos de corte eran meros 'mensajes salientes' enviados de manera efímera por el canal de WhatsApp, asimilándolos a la entidad genérica Mensaje.</w:t>
      </w:r>
    </w:p>
    <w:p>
      <w:pPr>
        <w:spacing w:before="0" w:after="100" w:line="276" w:lineRule="auto"/>
      </w:pPr>
      <w:r>
        <w:rPr>
          <w:rFonts w:ascii="Calibri" w:hAnsi="Calibri"/>
          <w:b/>
          <w:color w:val="2D3748"/>
          <w:sz w:val="22"/>
        </w:rPr>
        <w:t xml:space="preserve">Hallazgo de Requerimiento: </w:t>
      </w:r>
      <w:r>
        <w:rPr>
          <w:rFonts w:ascii="Calibri" w:hAnsi="Calibri"/>
          <w:i w:val="0"/>
          <w:color w:val="2D3748"/>
          <w:sz w:val="22"/>
        </w:rPr>
        <w:t>Sin embargo, al especificar en detalle los requerimientos RF-17 (envío automatizado de aviso previo al vencimiento) y RF-18 (notificación de deuda vencida), se evidenció que un aviso no es un simple texto, sino un evento de negocio con auditoría propia que requiere:</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Control de estados del aviso: pendiente, enviado o fallido.</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Trazabilidad de reintentos y fecha/hora exacta del último intento para evitar saturación de la API.</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Registro del detalle de error devuelto por la pasarela de Meta en caso de fallas de conectividad.</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Restricción estricta de unicidad compuesta [id_cuota, tipo] para garantizar que una cuota no reciba notificaciones duplicadas en el mismo período, previniendo spam involuntario al cliente.</w:t>
      </w:r>
    </w:p>
    <w:p>
      <w:pPr>
        <w:spacing w:before="0" w:after="100" w:line="276" w:lineRule="auto"/>
      </w:pPr>
      <w:r>
        <w:rPr>
          <w:rFonts w:ascii="Calibri" w:hAnsi="Calibri"/>
          <w:b/>
          <w:color w:val="2D3748"/>
          <w:sz w:val="22"/>
        </w:rPr>
        <w:t xml:space="preserve">Impacto: </w:t>
      </w:r>
      <w:r>
        <w:rPr>
          <w:rFonts w:ascii="Calibri" w:hAnsi="Calibri"/>
          <w:i w:val="0"/>
          <w:color w:val="2D3748"/>
          <w:sz w:val="22"/>
        </w:rPr>
        <w:t>Solución de Diseño: Se incorporó la entidad formal AvisoVencimiento en el DER Conceptual, DER Lógico y Diagrama de Clases, vinculada a Cuota (1 a N obligatoria) y canalizada opcionalmente a través de Conversacion y Mensaje.</w:t>
      </w:r>
    </w:p>
    <w:p>
      <w:pPr>
        <w:keepNext/>
        <w:spacing w:before="240" w:after="80"/>
      </w:pPr>
      <w:r>
        <w:rPr>
          <w:rFonts w:ascii="Calibri" w:hAnsi="Calibri"/>
          <w:b/>
          <w:color w:val="2B6CB0"/>
          <w:sz w:val="25"/>
        </w:rPr>
        <w:t>2.2. Desacoplamiento de Cliente e Identificación Dinámica en el Chatbot (RF-10, RF-11, RF-12)</w:t>
      </w:r>
    </w:p>
    <w:p>
      <w:pPr>
        <w:spacing w:before="0" w:after="100" w:line="276" w:lineRule="auto"/>
      </w:pPr>
      <w:r>
        <w:rPr>
          <w:rFonts w:ascii="Calibri" w:hAnsi="Calibri"/>
          <w:i w:val="0"/>
          <w:color w:val="2D3748"/>
          <w:sz w:val="22"/>
        </w:rPr>
        <w:t>El diseño preliminar estipulaba una relación obligatoria (1 a N) entre Cliente y Conversacion, exigiendo que todo chat entrante estuviera rígidamente atado a un id_cliente existente desde el momento en que se abría el hilo de WhatsApp.</w:t>
      </w:r>
    </w:p>
    <w:p>
      <w:pPr>
        <w:spacing w:before="0" w:after="100" w:line="276" w:lineRule="auto"/>
      </w:pPr>
      <w:r>
        <w:rPr>
          <w:rFonts w:ascii="Calibri" w:hAnsi="Calibri"/>
          <w:b/>
          <w:color w:val="2D3748"/>
          <w:sz w:val="22"/>
        </w:rPr>
        <w:t xml:space="preserve">Hallazgo de Requerimiento: </w:t>
      </w:r>
      <w:r>
        <w:rPr>
          <w:rFonts w:ascii="Calibri" w:hAnsi="Calibri"/>
          <w:i w:val="0"/>
          <w:color w:val="2D3748"/>
          <w:sz w:val="22"/>
        </w:rPr>
        <w:t>En la realidad operativa del sistema, cualquier persona puede enviar un mensaje al número de la empresa. Obligar a que id_cliente fuera no nulo generaba dos problemas críticos de análisis:</w:t>
      </w:r>
    </w:p>
    <w:p>
      <w:pPr>
        <w:pStyle w:val="ListBullet"/>
        <w:spacing w:before="0" w:after="60" w:line="276" w:lineRule="auto"/>
      </w:pPr>
      <w:r>
        <w:rPr>
          <w:rFonts w:ascii="Calibri" w:hAnsi="Calibri"/>
          <w:b/>
          <w:color w:val="2D3748"/>
          <w:sz w:val="21"/>
        </w:rPr>
        <w:t xml:space="preserve">1. </w:t>
      </w:r>
      <w:r>
        <w:rPr>
          <w:rFonts w:ascii="Calibri" w:hAnsi="Calibri"/>
          <w:color w:val="2D3748"/>
          <w:sz w:val="21"/>
        </w:rPr>
        <w:t>Imposibilidad de atender consultas de prospectos o nuevos usuarios que aún no son clientes (RF-10).</w:t>
      </w:r>
    </w:p>
    <w:p>
      <w:pPr>
        <w:pStyle w:val="ListBullet"/>
        <w:spacing w:before="0" w:after="60" w:line="276" w:lineRule="auto"/>
      </w:pPr>
      <w:r>
        <w:rPr>
          <w:rFonts w:ascii="Calibri" w:hAnsi="Calibri"/>
          <w:b/>
          <w:color w:val="2D3748"/>
          <w:sz w:val="21"/>
        </w:rPr>
        <w:t xml:space="preserve">2. </w:t>
      </w:r>
      <w:r>
        <w:rPr>
          <w:rFonts w:ascii="Calibri" w:hAnsi="Calibri"/>
          <w:color w:val="2D3748"/>
          <w:sz w:val="21"/>
        </w:rPr>
        <w:t>Imposibilidad de atender a clientes ya registrados cuyo número de teléfono no coincidía inicialmente con el registrado en base de datos o que requerían un proceso de identificación guiada por DNI (RF-11).</w:t>
      </w:r>
    </w:p>
    <w:p>
      <w:pPr>
        <w:spacing w:before="0" w:after="100" w:line="276" w:lineRule="auto"/>
      </w:pPr>
      <w:r>
        <w:rPr>
          <w:rFonts w:ascii="Calibri" w:hAnsi="Calibri"/>
          <w:b/>
          <w:color w:val="2D3748"/>
          <w:sz w:val="22"/>
        </w:rPr>
        <w:t xml:space="preserve">Impacto: </w:t>
      </w:r>
      <w:r>
        <w:rPr>
          <w:rFonts w:ascii="Calibri" w:hAnsi="Calibri"/>
          <w:i w:val="0"/>
          <w:color w:val="2D3748"/>
          <w:sz w:val="22"/>
        </w:rPr>
        <w:t>Solución de Diseño: Se flexibilizó id_cliente como atributo opcional (nullable) en conversacion, y se incorporó el atributo estructurado datos_registro (JSON) para almacenar la sesión interactiva del alta de clientes, manteniendo número de teléfono de WhatsApp como identificador de sesión y vinculando el id_cliente sólo cuando la identidad es confirmada.</w:t>
      </w:r>
    </w:p>
    <w:p>
      <w:pPr>
        <w:keepNext/>
        <w:spacing w:before="240" w:after="80"/>
      </w:pPr>
      <w:r>
        <w:rPr>
          <w:rFonts w:ascii="Calibri" w:hAnsi="Calibri"/>
          <w:b/>
          <w:color w:val="2B6CB0"/>
          <w:sz w:val="25"/>
        </w:rPr>
        <w:t>2.3. Máquina de Estados del Diálogo y Control de Intentos de Comprensión (RF-13, RF-15)</w:t>
      </w:r>
    </w:p>
    <w:p>
      <w:pPr>
        <w:spacing w:before="0" w:after="100" w:line="276" w:lineRule="auto"/>
      </w:pPr>
      <w:r>
        <w:rPr>
          <w:rFonts w:ascii="Calibri" w:hAnsi="Calibri"/>
          <w:i w:val="0"/>
          <w:color w:val="2D3748"/>
          <w:sz w:val="22"/>
        </w:rPr>
        <w:t>El modelado inicial únicamente preveía estados globales de conversación (abierta, cerrada). No obstante, el funcionamiento de un chatbot con procesamiento de lenguaje natural y menú estructurado exige almacenar en la base de datos el punto exacto de la interacción en el que se encuentra el usuario.</w:t>
      </w:r>
    </w:p>
    <w:p>
      <w:pPr>
        <w:spacing w:before="0" w:after="100" w:line="276" w:lineRule="auto"/>
      </w:pPr>
      <w:r>
        <w:rPr>
          <w:rFonts w:ascii="Calibri" w:hAnsi="Calibri"/>
          <w:b/>
          <w:color w:val="2D3748"/>
          <w:sz w:val="22"/>
        </w:rPr>
        <w:t xml:space="preserve">Hallazgo de Requerimiento: </w:t>
      </w:r>
      <w:r>
        <w:rPr>
          <w:rFonts w:ascii="Calibri" w:hAnsi="Calibri"/>
          <w:i w:val="0"/>
          <w:color w:val="2D3748"/>
          <w:sz w:val="22"/>
        </w:rPr>
        <w:t>Sin persistencia de estado de flujo, un reinicio del servicio o una nueva solicitud entrante provocaría la pérdida del contexto conversacional (por ejemplo, si el bot estaba esperando la imagen de un comprobante o la descripción de una falla técnica). Asimismo, para cumplir con el escalado automático a personal humano tras dos fallos de intención (RF-15), era indispensable persistir un contador específico de intentos fallidos.</w:t>
      </w:r>
    </w:p>
    <w:p>
      <w:pPr>
        <w:spacing w:before="0" w:after="100" w:line="276" w:lineRule="auto"/>
      </w:pPr>
      <w:r>
        <w:rPr>
          <w:rFonts w:ascii="Calibri" w:hAnsi="Calibri"/>
          <w:b/>
          <w:color w:val="2D3748"/>
          <w:sz w:val="22"/>
        </w:rPr>
        <w:t xml:space="preserve">Impacto: </w:t>
      </w:r>
      <w:r>
        <w:rPr>
          <w:rFonts w:ascii="Calibri" w:hAnsi="Calibri"/>
          <w:i w:val="0"/>
          <w:color w:val="2D3748"/>
          <w:sz w:val="22"/>
        </w:rPr>
        <w:t>Solución de Diseño: Se agregaron formalmente a la entidad conversacion los atributos estado_flujo (control de pasos de árbol) e intentos_intencion (contador de fallos para derivación a soporte).</w:t>
      </w:r>
    </w:p>
    <w:p>
      <w:pPr>
        <w:keepNext/>
        <w:spacing w:before="240" w:after="80"/>
      </w:pPr>
      <w:r>
        <w:rPr>
          <w:rFonts w:ascii="Calibri" w:hAnsi="Calibri"/>
          <w:b/>
          <w:color w:val="2B6CB0"/>
          <w:sz w:val="25"/>
        </w:rPr>
        <w:t>2.4. Seguridad, Integridad y Prevención de Fraudes en Comprobantes (RF-14)</w:t>
      </w:r>
    </w:p>
    <w:p>
      <w:pPr>
        <w:spacing w:before="0" w:after="100" w:line="276" w:lineRule="auto"/>
      </w:pPr>
      <w:r>
        <w:rPr>
          <w:rFonts w:ascii="Calibri" w:hAnsi="Calibri"/>
          <w:i w:val="0"/>
          <w:color w:val="2D3748"/>
          <w:sz w:val="22"/>
        </w:rPr>
        <w:t>El diseño preliminar asociaba de manera directa un pago a una conversación sin mecanismos de verificación de duplicados digitales ni trazabilidad analítica de lectura OCR.</w:t>
      </w:r>
    </w:p>
    <w:p>
      <w:pPr>
        <w:spacing w:before="0" w:after="100" w:line="276" w:lineRule="auto"/>
      </w:pPr>
      <w:r>
        <w:rPr>
          <w:rFonts w:ascii="Calibri" w:hAnsi="Calibri"/>
          <w:b/>
          <w:color w:val="2D3748"/>
          <w:sz w:val="22"/>
        </w:rPr>
        <w:t xml:space="preserve">Hallazgo de Requerimiento: </w:t>
      </w:r>
      <w:r>
        <w:rPr>
          <w:rFonts w:ascii="Calibri" w:hAnsi="Calibri"/>
          <w:i w:val="0"/>
          <w:color w:val="2D3748"/>
          <w:sz w:val="22"/>
        </w:rPr>
        <w:t>Para mitigar el riesgo de presentación repetida de un mismo ticket de transferencia bancaria o comprobante de Mercado Pago por parte de distintos usuarios o en fechas diferidas, el análisis de seguridad exigió:</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Cálculo y almacenamiento del hash criptográfico SHA-256 del archivo binario con índice UNIQUE a nivel de base de datos.</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Persistencia desacoplada del resultado OCR: monto extraído, fecha leída, número de operación y porcentaje de confianza probabilística.</w:t>
      </w:r>
    </w:p>
    <w:p>
      <w:pPr>
        <w:pStyle w:val="ListBullet"/>
        <w:spacing w:before="0" w:after="60" w:line="276" w:lineRule="auto"/>
      </w:pPr>
      <w:r>
        <w:rPr>
          <w:rFonts w:ascii="Calibri" w:hAnsi="Calibri"/>
          <w:b/>
          <w:color w:val="2D3748"/>
          <w:sz w:val="21"/>
        </w:rPr>
        <w:t xml:space="preserve">• </w:t>
      </w:r>
      <w:r>
        <w:rPr>
          <w:rFonts w:ascii="Calibri" w:hAnsi="Calibri"/>
          <w:color w:val="2D3748"/>
          <w:sz w:val="21"/>
        </w:rPr>
        <w:t>Relación de integridad referencial optativa (0..1 a 1) entre Comprobante y Pago: no todo pago requiere un comprobante WhatsApp (pudo realizarse en efectivo en oficina), pero cada comprobante validado sólo puede acreditar a lo sumo un pago contable.</w:t>
      </w:r>
    </w:p>
    <w:p>
      <w:pPr>
        <w:keepNext/>
        <w:spacing w:before="240" w:after="80"/>
      </w:pPr>
      <w:r>
        <w:rPr>
          <w:rFonts w:ascii="Calibri" w:hAnsi="Calibri"/>
          <w:b/>
          <w:color w:val="2B6CB0"/>
          <w:sz w:val="25"/>
        </w:rPr>
        <w:t>2.5. Simplificación Estructural de Notas Internas en Tickets de Soporte</w:t>
      </w:r>
    </w:p>
    <w:p>
      <w:pPr>
        <w:spacing w:before="0" w:after="100" w:line="276" w:lineRule="auto"/>
      </w:pPr>
      <w:r>
        <w:rPr>
          <w:rFonts w:ascii="Calibri" w:hAnsi="Calibri"/>
          <w:i w:val="0"/>
          <w:color w:val="2D3748"/>
          <w:sz w:val="22"/>
        </w:rPr>
        <w:t>Durante la revisión del módulo de tickets y reclamos, se evaluó la entidad preliminar NotaInterna. Se concluyó que, dado el volumen operativo y la naturaleza del flujo de soporte técnico donde el operador interactúa directamente en el hilo de la conversación escalada, la persistencia de notas en una tabla aislada agregaba sobrecarga relacional innecesaria. Se consolidaron las observaciones técnicas directamente en el ciclo de vida del Ticket y en los mensajes auditados del hilo conversacional.</w:t>
      </w:r>
    </w:p>
    <w:p>
      <w:pPr>
        <w:keepNext/>
        <w:spacing w:before="320" w:after="120"/>
      </w:pPr>
      <w:r>
        <w:rPr>
          <w:rFonts w:ascii="Calibri" w:hAnsi="Calibri"/>
          <w:b/>
          <w:color w:val="1A365D"/>
          <w:sz w:val="30"/>
        </w:rPr>
        <w:t>3. Inventario de Modificaciones Concretas en los Diagramas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Pr>
          <w:p>
            <w:r>
              <w:rPr>
                <w:rFonts w:ascii="Calibri" w:hAnsi="Calibri"/>
                <w:b/>
                <w:color w:val="FFFFFF"/>
                <w:sz w:val="19"/>
              </w:rPr>
              <w:t>Diagrama</w:t>
            </w:r>
          </w:p>
        </w:tc>
        <w:tc>
          <w:tcPr>
            <w:tcW w:type="dxa" w:w="2340"/>
            <w:shd w:fill="1A365D"/>
          </w:tcPr>
          <w:p>
            <w:r>
              <w:rPr>
                <w:rFonts w:ascii="Calibri" w:hAnsi="Calibri"/>
                <w:b/>
                <w:color w:val="FFFFFF"/>
                <w:sz w:val="19"/>
              </w:rPr>
              <w:t>Elemento Modificado</w:t>
            </w:r>
          </w:p>
        </w:tc>
        <w:tc>
          <w:tcPr>
            <w:tcW w:type="dxa" w:w="2340"/>
            <w:shd w:fill="1A365D"/>
          </w:tcPr>
          <w:p>
            <w:r>
              <w:rPr>
                <w:rFonts w:ascii="Calibri" w:hAnsi="Calibri"/>
                <w:b/>
                <w:color w:val="FFFFFF"/>
                <w:sz w:val="19"/>
              </w:rPr>
              <w:t>Tipo de Modificación</w:t>
            </w:r>
          </w:p>
        </w:tc>
        <w:tc>
          <w:tcPr>
            <w:tcW w:type="dxa" w:w="2340"/>
            <w:shd w:fill="1A365D"/>
          </w:tcPr>
          <w:p>
            <w:r>
              <w:rPr>
                <w:rFonts w:ascii="Calibri" w:hAnsi="Calibri"/>
                <w:b/>
                <w:color w:val="FFFFFF"/>
                <w:sz w:val="19"/>
              </w:rPr>
              <w:t>Justificación / RF Asociado</w:t>
            </w:r>
          </w:p>
        </w:tc>
      </w:tr>
      <w:tr>
        <w:tc>
          <w:tcPr>
            <w:tcW w:type="dxa" w:w="2340"/>
            <w:shd w:fill="F7FAFC"/>
          </w:tcPr>
          <w:p>
            <w:pPr>
              <w:spacing w:before="40" w:after="40"/>
            </w:pPr>
            <w:r>
              <w:rPr>
                <w:rFonts w:ascii="Calibri" w:hAnsi="Calibri"/>
                <w:b/>
                <w:color w:val="2D3748"/>
                <w:sz w:val="17"/>
              </w:rPr>
              <w:t>DER Conceptual</w:t>
            </w:r>
          </w:p>
        </w:tc>
        <w:tc>
          <w:tcPr>
            <w:tcW w:type="dxa" w:w="2340"/>
          </w:tcPr>
          <w:p>
            <w:pPr>
              <w:spacing w:before="40" w:after="40"/>
            </w:pPr>
            <w:r>
              <w:rPr>
                <w:rFonts w:ascii="Calibri" w:hAnsi="Calibri"/>
                <w:color w:val="2D3748"/>
                <w:sz w:val="17"/>
              </w:rPr>
              <w:t>Entidad AVISO DE VENCIMIENTO</w:t>
            </w:r>
          </w:p>
        </w:tc>
        <w:tc>
          <w:tcPr>
            <w:tcW w:type="dxa" w:w="2340"/>
          </w:tcPr>
          <w:p>
            <w:pPr>
              <w:spacing w:before="40" w:after="40"/>
            </w:pPr>
            <w:r>
              <w:rPr>
                <w:rFonts w:ascii="Calibri" w:hAnsi="Calibri"/>
                <w:color w:val="2D3748"/>
                <w:sz w:val="17"/>
              </w:rPr>
              <w:t>Incorporación</w:t>
            </w:r>
          </w:p>
        </w:tc>
        <w:tc>
          <w:tcPr>
            <w:tcW w:type="dxa" w:w="2340"/>
          </w:tcPr>
          <w:p>
            <w:pPr>
              <w:spacing w:before="40" w:after="40"/>
            </w:pPr>
            <w:r>
              <w:rPr>
                <w:rFonts w:ascii="Calibri" w:hAnsi="Calibri"/>
                <w:color w:val="2D3748"/>
                <w:sz w:val="17"/>
              </w:rPr>
              <w:t>RF-17 y RF-18: Se modela como entidad de negocio con atributos de estado, tipo y fechas de intento.</w:t>
            </w:r>
          </w:p>
        </w:tc>
      </w:tr>
      <w:tr>
        <w:tc>
          <w:tcPr>
            <w:tcW w:type="dxa" w:w="2340"/>
            <w:shd w:fill="F7FAFC"/>
          </w:tcPr>
          <w:p>
            <w:pPr>
              <w:spacing w:before="40" w:after="40"/>
            </w:pPr>
            <w:r>
              <w:rPr>
                <w:rFonts w:ascii="Calibri" w:hAnsi="Calibri"/>
                <w:b/>
                <w:color w:val="2D3748"/>
                <w:sz w:val="17"/>
              </w:rPr>
              <w:t>DER Conceptual</w:t>
            </w:r>
          </w:p>
        </w:tc>
        <w:tc>
          <w:tcPr>
            <w:tcW w:type="dxa" w:w="2340"/>
          </w:tcPr>
          <w:p>
            <w:pPr>
              <w:spacing w:before="40" w:after="40"/>
            </w:pPr>
            <w:r>
              <w:rPr>
                <w:rFonts w:ascii="Calibri" w:hAnsi="Calibri"/>
                <w:color w:val="2D3748"/>
                <w:sz w:val="17"/>
              </w:rPr>
              <w:t>Relación CUOTA — AVISO</w:t>
            </w:r>
          </w:p>
        </w:tc>
        <w:tc>
          <w:tcPr>
            <w:tcW w:type="dxa" w:w="2340"/>
          </w:tcPr>
          <w:p>
            <w:pPr>
              <w:spacing w:before="40" w:after="40"/>
            </w:pPr>
            <w:r>
              <w:rPr>
                <w:rFonts w:ascii="Calibri" w:hAnsi="Calibri"/>
                <w:color w:val="2D3748"/>
                <w:sz w:val="17"/>
              </w:rPr>
              <w:t>Nueva relación 1:N</w:t>
            </w:r>
          </w:p>
        </w:tc>
        <w:tc>
          <w:tcPr>
            <w:tcW w:type="dxa" w:w="2340"/>
          </w:tcPr>
          <w:p>
            <w:pPr>
              <w:spacing w:before="40" w:after="40"/>
            </w:pPr>
            <w:r>
              <w:rPr>
                <w:rFonts w:ascii="Calibri" w:hAnsi="Calibri"/>
                <w:color w:val="2D3748"/>
                <w:sz w:val="17"/>
              </w:rPr>
              <w:t>Una cuota genera avisos preventivos y por mora; el aviso audita el estado del recordatorio.</w:t>
            </w:r>
          </w:p>
        </w:tc>
      </w:tr>
      <w:tr>
        <w:tc>
          <w:tcPr>
            <w:tcW w:type="dxa" w:w="2340"/>
            <w:shd w:fill="F7FAFC"/>
          </w:tcPr>
          <w:p>
            <w:pPr>
              <w:spacing w:before="40" w:after="40"/>
            </w:pPr>
            <w:r>
              <w:rPr>
                <w:rFonts w:ascii="Calibri" w:hAnsi="Calibri"/>
                <w:b/>
                <w:color w:val="2D3748"/>
                <w:sz w:val="17"/>
              </w:rPr>
              <w:t>DER Conceptual</w:t>
            </w:r>
          </w:p>
        </w:tc>
        <w:tc>
          <w:tcPr>
            <w:tcW w:type="dxa" w:w="2340"/>
          </w:tcPr>
          <w:p>
            <w:pPr>
              <w:spacing w:before="40" w:after="40"/>
            </w:pPr>
            <w:r>
              <w:rPr>
                <w:rFonts w:ascii="Calibri" w:hAnsi="Calibri"/>
                <w:color w:val="2D3748"/>
                <w:sz w:val="17"/>
              </w:rPr>
              <w:t>Relación CONVERSACIÓN — AVISO</w:t>
            </w:r>
          </w:p>
        </w:tc>
        <w:tc>
          <w:tcPr>
            <w:tcW w:type="dxa" w:w="2340"/>
          </w:tcPr>
          <w:p>
            <w:pPr>
              <w:spacing w:before="40" w:after="40"/>
            </w:pPr>
            <w:r>
              <w:rPr>
                <w:rFonts w:ascii="Calibri" w:hAnsi="Calibri"/>
                <w:color w:val="2D3748"/>
                <w:sz w:val="17"/>
              </w:rPr>
              <w:t>Nueva relación 0..1:N</w:t>
            </w:r>
          </w:p>
        </w:tc>
        <w:tc>
          <w:tcPr>
            <w:tcW w:type="dxa" w:w="2340"/>
          </w:tcPr>
          <w:p>
            <w:pPr>
              <w:spacing w:before="40" w:after="40"/>
            </w:pPr>
            <w:r>
              <w:rPr>
                <w:rFonts w:ascii="Calibri" w:hAnsi="Calibri"/>
                <w:color w:val="2D3748"/>
                <w:sz w:val="17"/>
              </w:rPr>
              <w:t>Canalización opcional del aviso mediante el chat de WhatsApp del cliente.</w:t>
            </w:r>
          </w:p>
        </w:tc>
      </w:tr>
      <w:tr>
        <w:tc>
          <w:tcPr>
            <w:tcW w:type="dxa" w:w="2340"/>
            <w:shd w:fill="F7FAFC"/>
          </w:tcPr>
          <w:p>
            <w:pPr>
              <w:spacing w:before="40" w:after="40"/>
            </w:pPr>
            <w:r>
              <w:rPr>
                <w:rFonts w:ascii="Calibri" w:hAnsi="Calibri"/>
                <w:b/>
                <w:color w:val="2D3748"/>
                <w:sz w:val="17"/>
              </w:rPr>
              <w:t>DER Lógico</w:t>
            </w:r>
          </w:p>
        </w:tc>
        <w:tc>
          <w:tcPr>
            <w:tcW w:type="dxa" w:w="2340"/>
          </w:tcPr>
          <w:p>
            <w:pPr>
              <w:spacing w:before="40" w:after="40"/>
            </w:pPr>
            <w:r>
              <w:rPr>
                <w:rFonts w:ascii="Calibri" w:hAnsi="Calibri"/>
                <w:color w:val="2D3748"/>
                <w:sz w:val="17"/>
              </w:rPr>
              <w:t>Tabla aviso_vencimiento</w:t>
            </w:r>
          </w:p>
        </w:tc>
        <w:tc>
          <w:tcPr>
            <w:tcW w:type="dxa" w:w="2340"/>
          </w:tcPr>
          <w:p>
            <w:pPr>
              <w:spacing w:before="40" w:after="40"/>
            </w:pPr>
            <w:r>
              <w:rPr>
                <w:rFonts w:ascii="Calibri" w:hAnsi="Calibri"/>
                <w:color w:val="2D3748"/>
                <w:sz w:val="17"/>
              </w:rPr>
              <w:t>Nueva tabla en 3FN</w:t>
            </w:r>
          </w:p>
        </w:tc>
        <w:tc>
          <w:tcPr>
            <w:tcW w:type="dxa" w:w="2340"/>
          </w:tcPr>
          <w:p>
            <w:pPr>
              <w:spacing w:before="40" w:after="40"/>
            </w:pPr>
            <w:r>
              <w:rPr>
                <w:rFonts w:ascii="Calibri" w:hAnsi="Calibri"/>
                <w:color w:val="2D3748"/>
                <w:sz w:val="17"/>
              </w:rPr>
              <w:t>Estructura completa con PK, FK a cuota, FKs opcionales a conversación/mensaje y UNIQUE compuesto.</w:t>
            </w:r>
          </w:p>
        </w:tc>
      </w:tr>
      <w:tr>
        <w:tc>
          <w:tcPr>
            <w:tcW w:type="dxa" w:w="2340"/>
            <w:shd w:fill="F7FAFC"/>
          </w:tcPr>
          <w:p>
            <w:pPr>
              <w:spacing w:before="40" w:after="40"/>
            </w:pPr>
            <w:r>
              <w:rPr>
                <w:rFonts w:ascii="Calibri" w:hAnsi="Calibri"/>
                <w:b/>
                <w:color w:val="2D3748"/>
                <w:sz w:val="17"/>
              </w:rPr>
              <w:t>DER Lógico</w:t>
            </w:r>
          </w:p>
        </w:tc>
        <w:tc>
          <w:tcPr>
            <w:tcW w:type="dxa" w:w="2340"/>
          </w:tcPr>
          <w:p>
            <w:pPr>
              <w:spacing w:before="40" w:after="40"/>
            </w:pPr>
            <w:r>
              <w:rPr>
                <w:rFonts w:ascii="Calibri" w:hAnsi="Calibri"/>
                <w:color w:val="2D3748"/>
                <w:sz w:val="17"/>
              </w:rPr>
              <w:t>Tabla conversacion</w:t>
            </w:r>
          </w:p>
        </w:tc>
        <w:tc>
          <w:tcPr>
            <w:tcW w:type="dxa" w:w="2340"/>
          </w:tcPr>
          <w:p>
            <w:pPr>
              <w:spacing w:before="40" w:after="40"/>
            </w:pPr>
            <w:r>
              <w:rPr>
                <w:rFonts w:ascii="Calibri" w:hAnsi="Calibri"/>
                <w:color w:val="2D3748"/>
                <w:sz w:val="17"/>
              </w:rPr>
              <w:t>Modificación de columnas</w:t>
            </w:r>
          </w:p>
        </w:tc>
        <w:tc>
          <w:tcPr>
            <w:tcW w:type="dxa" w:w="2340"/>
          </w:tcPr>
          <w:p>
            <w:pPr>
              <w:spacing w:before="40" w:after="40"/>
            </w:pPr>
            <w:r>
              <w:rPr>
                <w:rFonts w:ascii="Calibri" w:hAnsi="Calibri"/>
                <w:color w:val="2D3748"/>
                <w:sz w:val="17"/>
              </w:rPr>
              <w:t>id_cliente como nullable; incorporación de estado_flujo, intentos_intencion y datos_registro (JSON).</w:t>
            </w:r>
          </w:p>
        </w:tc>
      </w:tr>
      <w:tr>
        <w:tc>
          <w:tcPr>
            <w:tcW w:type="dxa" w:w="2340"/>
            <w:shd w:fill="F7FAFC"/>
          </w:tcPr>
          <w:p>
            <w:pPr>
              <w:spacing w:before="40" w:after="40"/>
            </w:pPr>
            <w:r>
              <w:rPr>
                <w:rFonts w:ascii="Calibri" w:hAnsi="Calibri"/>
                <w:b/>
                <w:color w:val="2D3748"/>
                <w:sz w:val="17"/>
              </w:rPr>
              <w:t>DER Lógico</w:t>
            </w:r>
          </w:p>
        </w:tc>
        <w:tc>
          <w:tcPr>
            <w:tcW w:type="dxa" w:w="2340"/>
          </w:tcPr>
          <w:p>
            <w:pPr>
              <w:spacing w:before="40" w:after="40"/>
            </w:pPr>
            <w:r>
              <w:rPr>
                <w:rFonts w:ascii="Calibri" w:hAnsi="Calibri"/>
                <w:color w:val="2D3748"/>
                <w:sz w:val="17"/>
              </w:rPr>
              <w:t>Tabla comprobante</w:t>
            </w:r>
          </w:p>
        </w:tc>
        <w:tc>
          <w:tcPr>
            <w:tcW w:type="dxa" w:w="2340"/>
          </w:tcPr>
          <w:p>
            <w:pPr>
              <w:spacing w:before="40" w:after="40"/>
            </w:pPr>
            <w:r>
              <w:rPr>
                <w:rFonts w:ascii="Calibri" w:hAnsi="Calibri"/>
                <w:color w:val="2D3748"/>
                <w:sz w:val="17"/>
              </w:rPr>
              <w:t>Atributos de auditoría</w:t>
            </w:r>
          </w:p>
        </w:tc>
        <w:tc>
          <w:tcPr>
            <w:tcW w:type="dxa" w:w="2340"/>
          </w:tcPr>
          <w:p>
            <w:pPr>
              <w:spacing w:before="40" w:after="40"/>
            </w:pPr>
            <w:r>
              <w:rPr>
                <w:rFonts w:ascii="Calibri" w:hAnsi="Calibri"/>
                <w:color w:val="2D3748"/>
                <w:sz w:val="17"/>
              </w:rPr>
              <w:t>Incorporación de hash_archivo (UNIQUE), confianza_ocr, numero_operacion y estado_validacion.</w:t>
            </w:r>
          </w:p>
        </w:tc>
      </w:tr>
      <w:tr>
        <w:tc>
          <w:tcPr>
            <w:tcW w:type="dxa" w:w="2340"/>
            <w:shd w:fill="F7FAFC"/>
          </w:tcPr>
          <w:p>
            <w:pPr>
              <w:spacing w:before="40" w:after="40"/>
            </w:pPr>
            <w:r>
              <w:rPr>
                <w:rFonts w:ascii="Calibri" w:hAnsi="Calibri"/>
                <w:b/>
                <w:color w:val="2D3748"/>
                <w:sz w:val="17"/>
              </w:rPr>
              <w:t>DER Lógico</w:t>
            </w:r>
          </w:p>
        </w:tc>
        <w:tc>
          <w:tcPr>
            <w:tcW w:type="dxa" w:w="2340"/>
          </w:tcPr>
          <w:p>
            <w:pPr>
              <w:spacing w:before="40" w:after="40"/>
            </w:pPr>
            <w:r>
              <w:rPr>
                <w:rFonts w:ascii="Calibri" w:hAnsi="Calibri"/>
                <w:color w:val="2D3748"/>
                <w:sz w:val="17"/>
              </w:rPr>
              <w:t>Tabla pago</w:t>
            </w:r>
          </w:p>
        </w:tc>
        <w:tc>
          <w:tcPr>
            <w:tcW w:type="dxa" w:w="2340"/>
          </w:tcPr>
          <w:p>
            <w:pPr>
              <w:spacing w:before="40" w:after="40"/>
            </w:pPr>
            <w:r>
              <w:rPr>
                <w:rFonts w:ascii="Calibri" w:hAnsi="Calibri"/>
                <w:color w:val="2D3748"/>
                <w:sz w:val="17"/>
              </w:rPr>
              <w:t>Integridad referencial</w:t>
            </w:r>
          </w:p>
        </w:tc>
        <w:tc>
          <w:tcPr>
            <w:tcW w:type="dxa" w:w="2340"/>
          </w:tcPr>
          <w:p>
            <w:pPr>
              <w:spacing w:before="40" w:after="40"/>
            </w:pPr>
            <w:r>
              <w:rPr>
                <w:rFonts w:ascii="Calibri" w:hAnsi="Calibri"/>
                <w:color w:val="2D3748"/>
                <w:sz w:val="17"/>
              </w:rPr>
              <w:t>id_comprobante nullable con constraint UNIQUE (asociación 0..1 a 1 comprobante-pago).</w:t>
            </w:r>
          </w:p>
        </w:tc>
      </w:tr>
      <w:tr>
        <w:tc>
          <w:tcPr>
            <w:tcW w:type="dxa" w:w="2340"/>
            <w:shd w:fill="F7FAFC"/>
          </w:tcPr>
          <w:p>
            <w:pPr>
              <w:spacing w:before="40" w:after="40"/>
            </w:pPr>
            <w:r>
              <w:rPr>
                <w:rFonts w:ascii="Calibri" w:hAnsi="Calibri"/>
                <w:b/>
                <w:color w:val="2D3748"/>
                <w:sz w:val="17"/>
              </w:rPr>
              <w:t>Diagrama de Clases</w:t>
            </w:r>
          </w:p>
        </w:tc>
        <w:tc>
          <w:tcPr>
            <w:tcW w:type="dxa" w:w="2340"/>
          </w:tcPr>
          <w:p>
            <w:pPr>
              <w:spacing w:before="40" w:after="40"/>
            </w:pPr>
            <w:r>
              <w:rPr>
                <w:rFonts w:ascii="Calibri" w:hAnsi="Calibri"/>
                <w:color w:val="2D3748"/>
                <w:sz w:val="17"/>
              </w:rPr>
              <w:t>Clase AvisoVencimiento</w:t>
            </w:r>
          </w:p>
        </w:tc>
        <w:tc>
          <w:tcPr>
            <w:tcW w:type="dxa" w:w="2340"/>
          </w:tcPr>
          <w:p>
            <w:pPr>
              <w:spacing w:before="40" w:after="40"/>
            </w:pPr>
            <w:r>
              <w:rPr>
                <w:rFonts w:ascii="Calibri" w:hAnsi="Calibri"/>
                <w:color w:val="2D3748"/>
                <w:sz w:val="17"/>
              </w:rPr>
              <w:t>Nueva clase de entidad</w:t>
            </w:r>
          </w:p>
        </w:tc>
        <w:tc>
          <w:tcPr>
            <w:tcW w:type="dxa" w:w="2340"/>
          </w:tcPr>
          <w:p>
            <w:pPr>
              <w:spacing w:before="40" w:after="40"/>
            </w:pPr>
            <w:r>
              <w:rPr>
                <w:rFonts w:ascii="Calibri" w:hAnsi="Calibri"/>
                <w:color w:val="2D3748"/>
                <w:sz w:val="17"/>
              </w:rPr>
              <w:t>Atributos completos y métodos de negocio: cuota(), conversacion(), mensaje(), marcarEnviado().</w:t>
            </w:r>
          </w:p>
        </w:tc>
      </w:tr>
      <w:tr>
        <w:tc>
          <w:tcPr>
            <w:tcW w:type="dxa" w:w="2340"/>
            <w:shd w:fill="F7FAFC"/>
          </w:tcPr>
          <w:p>
            <w:pPr>
              <w:spacing w:before="40" w:after="40"/>
            </w:pPr>
            <w:r>
              <w:rPr>
                <w:rFonts w:ascii="Calibri" w:hAnsi="Calibri"/>
                <w:b/>
                <w:color w:val="2D3748"/>
                <w:sz w:val="17"/>
              </w:rPr>
              <w:t>Diagrama de Clases</w:t>
            </w:r>
          </w:p>
        </w:tc>
        <w:tc>
          <w:tcPr>
            <w:tcW w:type="dxa" w:w="2340"/>
          </w:tcPr>
          <w:p>
            <w:pPr>
              <w:spacing w:before="40" w:after="40"/>
            </w:pPr>
            <w:r>
              <w:rPr>
                <w:rFonts w:ascii="Calibri" w:hAnsi="Calibri"/>
                <w:color w:val="2D3748"/>
                <w:sz w:val="17"/>
              </w:rPr>
              <w:t>Clase Conversacion</w:t>
            </w:r>
          </w:p>
        </w:tc>
        <w:tc>
          <w:tcPr>
            <w:tcW w:type="dxa" w:w="2340"/>
          </w:tcPr>
          <w:p>
            <w:pPr>
              <w:spacing w:before="40" w:after="40"/>
            </w:pPr>
            <w:r>
              <w:rPr>
                <w:rFonts w:ascii="Calibri" w:hAnsi="Calibri"/>
                <w:color w:val="2D3748"/>
                <w:sz w:val="17"/>
              </w:rPr>
              <w:t>Actualización de miembros</w:t>
            </w:r>
          </w:p>
        </w:tc>
        <w:tc>
          <w:tcPr>
            <w:tcW w:type="dxa" w:w="2340"/>
          </w:tcPr>
          <w:p>
            <w:pPr>
              <w:spacing w:before="40" w:after="40"/>
            </w:pPr>
            <w:r>
              <w:rPr>
                <w:rFonts w:ascii="Calibri" w:hAnsi="Calibri"/>
                <w:color w:val="2D3748"/>
                <w:sz w:val="17"/>
              </w:rPr>
              <w:t>Atributos de flujo y métodos de escalado: usuarioAtencion(), avisosVencimiento(), tickets().</w:t>
            </w:r>
          </w:p>
        </w:tc>
      </w:tr>
      <w:tr>
        <w:tc>
          <w:tcPr>
            <w:tcW w:type="dxa" w:w="2340"/>
            <w:shd w:fill="F7FAFC"/>
          </w:tcPr>
          <w:p>
            <w:pPr>
              <w:spacing w:before="40" w:after="40"/>
            </w:pPr>
            <w:r>
              <w:rPr>
                <w:rFonts w:ascii="Calibri" w:hAnsi="Calibri"/>
                <w:b/>
                <w:color w:val="2D3748"/>
                <w:sz w:val="17"/>
              </w:rPr>
              <w:t>Diagrama de Clases</w:t>
            </w:r>
          </w:p>
        </w:tc>
        <w:tc>
          <w:tcPr>
            <w:tcW w:type="dxa" w:w="2340"/>
          </w:tcPr>
          <w:p>
            <w:pPr>
              <w:spacing w:before="40" w:after="40"/>
            </w:pPr>
            <w:r>
              <w:rPr>
                <w:rFonts w:ascii="Calibri" w:hAnsi="Calibri"/>
                <w:color w:val="2D3748"/>
                <w:sz w:val="17"/>
              </w:rPr>
              <w:t>Clases Cuota, Mensaje, Usuario</w:t>
            </w:r>
          </w:p>
        </w:tc>
        <w:tc>
          <w:tcPr>
            <w:tcW w:type="dxa" w:w="2340"/>
          </w:tcPr>
          <w:p>
            <w:pPr>
              <w:spacing w:before="40" w:after="40"/>
            </w:pPr>
            <w:r>
              <w:rPr>
                <w:rFonts w:ascii="Calibri" w:hAnsi="Calibri"/>
                <w:color w:val="2D3748"/>
                <w:sz w:val="17"/>
              </w:rPr>
              <w:t>Relaciones Eloquent</w:t>
            </w:r>
          </w:p>
        </w:tc>
        <w:tc>
          <w:tcPr>
            <w:tcW w:type="dxa" w:w="2340"/>
          </w:tcPr>
          <w:p>
            <w:pPr>
              <w:spacing w:before="40" w:after="40"/>
            </w:pPr>
            <w:r>
              <w:rPr>
                <w:rFonts w:ascii="Calibri" w:hAnsi="Calibri"/>
                <w:color w:val="2D3748"/>
                <w:sz w:val="17"/>
              </w:rPr>
              <w:t>Sincronización de métodos hasMany y belongsTo para reflejar el modelo de dominio activo.</w:t>
            </w:r>
          </w:p>
        </w:tc>
      </w:tr>
    </w:tbl>
    <w:p>
      <w:pPr>
        <w:spacing w:after="120"/>
      </w:pPr>
    </w:p>
    <w:p>
      <w:pPr>
        <w:keepNext/>
        <w:spacing w:before="320" w:after="120"/>
      </w:pPr>
      <w:r>
        <w:rPr>
          <w:rFonts w:ascii="Calibri" w:hAnsi="Calibri"/>
          <w:b/>
          <w:color w:val="1A365D"/>
          <w:sz w:val="30"/>
        </w:rPr>
        <w:t>4. Matriz de Trazabilidad: Requerimientos → Diseño → Implementación</w:t>
      </w:r>
    </w:p>
    <w:p>
      <w:pPr>
        <w:spacing w:before="0" w:after="100" w:line="276" w:lineRule="auto"/>
      </w:pPr>
      <w:r>
        <w:rPr>
          <w:rFonts w:ascii="Calibri" w:hAnsi="Calibri"/>
          <w:i w:val="0"/>
          <w:color w:val="2D3748"/>
          <w:sz w:val="22"/>
        </w:rPr>
        <w:t>A continuación se resume la correlación formal que valida cómo las adaptaciones del diseño respondieron directamente a los requisitos planteados para el Módulo 2:</w:t>
      </w:r>
    </w:p>
    <w:tbl>
      <w:tblPr>
        <w:tblW w:type="auto" w:w="0"/>
        <w:jc w:val="center"/>
        <w:tblLook w:firstColumn="1" w:firstRow="1" w:lastColumn="0" w:lastRow="0" w:noHBand="0" w:noVBand="1" w:val="04A0"/>
      </w:tblPr>
      <w:tblGrid>
        <w:gridCol w:w="2340"/>
        <w:gridCol w:w="2340"/>
        <w:gridCol w:w="2340"/>
        <w:gridCol w:w="2340"/>
      </w:tblGrid>
      <w:tr>
        <w:tc>
          <w:tcPr>
            <w:tcW w:type="dxa" w:w="2340"/>
            <w:shd w:fill="2B6CB0"/>
          </w:tcPr>
          <w:p>
            <w:r>
              <w:rPr>
                <w:rFonts w:ascii="Calibri" w:hAnsi="Calibri"/>
                <w:b/>
                <w:color w:val="FFFFFF"/>
                <w:sz w:val="19"/>
              </w:rPr>
              <w:t>Requerimiento Funcional</w:t>
            </w:r>
          </w:p>
        </w:tc>
        <w:tc>
          <w:tcPr>
            <w:tcW w:type="dxa" w:w="2340"/>
            <w:shd w:fill="2B6CB0"/>
          </w:tcPr>
          <w:p>
            <w:r>
              <w:rPr>
                <w:rFonts w:ascii="Calibri" w:hAnsi="Calibri"/>
                <w:b/>
                <w:color w:val="FFFFFF"/>
                <w:sz w:val="19"/>
              </w:rPr>
              <w:t>Necesidad Detectada</w:t>
            </w:r>
          </w:p>
        </w:tc>
        <w:tc>
          <w:tcPr>
            <w:tcW w:type="dxa" w:w="2340"/>
            <w:shd w:fill="2B6CB0"/>
          </w:tcPr>
          <w:p>
            <w:r>
              <w:rPr>
                <w:rFonts w:ascii="Calibri" w:hAnsi="Calibri"/>
                <w:b/>
                <w:color w:val="FFFFFF"/>
                <w:sz w:val="19"/>
              </w:rPr>
              <w:t>Reflejo en Diagramas</w:t>
            </w:r>
          </w:p>
        </w:tc>
        <w:tc>
          <w:tcPr>
            <w:tcW w:type="dxa" w:w="2340"/>
            <w:shd w:fill="2B6CB0"/>
          </w:tcPr>
          <w:p>
            <w:r>
              <w:rPr>
                <w:rFonts w:ascii="Calibri" w:hAnsi="Calibri"/>
                <w:b/>
                <w:color w:val="FFFFFF"/>
                <w:sz w:val="19"/>
              </w:rPr>
              <w:t>Componente de Software</w:t>
            </w:r>
          </w:p>
        </w:tc>
      </w:tr>
      <w:tr>
        <w:tc>
          <w:tcPr>
            <w:tcW w:type="dxa" w:w="2340"/>
            <w:shd w:fill="F7FAFC"/>
          </w:tcPr>
          <w:p>
            <w:pPr>
              <w:spacing w:before="40" w:after="40"/>
            </w:pPr>
            <w:r>
              <w:rPr>
                <w:rFonts w:ascii="Calibri" w:hAnsi="Calibri"/>
                <w:b/>
                <w:color w:val="2D3748"/>
                <w:sz w:val="17"/>
              </w:rPr>
              <w:t>RF-10: Iniciar conversación WhatsApp</w:t>
            </w:r>
          </w:p>
        </w:tc>
        <w:tc>
          <w:tcPr>
            <w:tcW w:type="dxa" w:w="2340"/>
          </w:tcPr>
          <w:p>
            <w:pPr>
              <w:spacing w:before="40" w:after="40"/>
            </w:pPr>
            <w:r>
              <w:rPr>
                <w:rFonts w:ascii="Calibri" w:hAnsi="Calibri"/>
                <w:color w:val="2D3748"/>
                <w:sz w:val="17"/>
              </w:rPr>
              <w:t>Recibir mensajes de números no registrados previamente.</w:t>
            </w:r>
          </w:p>
        </w:tc>
        <w:tc>
          <w:tcPr>
            <w:tcW w:type="dxa" w:w="2340"/>
          </w:tcPr>
          <w:p>
            <w:pPr>
              <w:spacing w:before="40" w:after="40"/>
            </w:pPr>
            <w:r>
              <w:rPr>
                <w:rFonts w:ascii="Calibri" w:hAnsi="Calibri"/>
                <w:color w:val="2D3748"/>
                <w:sz w:val="17"/>
              </w:rPr>
              <w:t>conversacion: id_cliente nullable, numero_whatsapp obligatorio.</w:t>
            </w:r>
          </w:p>
        </w:tc>
        <w:tc>
          <w:tcPr>
            <w:tcW w:type="dxa" w:w="2340"/>
          </w:tcPr>
          <w:p>
            <w:pPr>
              <w:spacing w:before="40" w:after="40"/>
            </w:pPr>
            <w:r>
              <w:rPr>
                <w:rFonts w:ascii="Calibri" w:hAnsi="Calibri"/>
                <w:color w:val="2D3748"/>
                <w:sz w:val="17"/>
              </w:rPr>
              <w:t>ServicioRecepcionWhatsapp / Modelo Conversacion</w:t>
            </w:r>
          </w:p>
        </w:tc>
      </w:tr>
      <w:tr>
        <w:tc>
          <w:tcPr>
            <w:tcW w:type="dxa" w:w="2340"/>
            <w:shd w:fill="F7FAFC"/>
          </w:tcPr>
          <w:p>
            <w:pPr>
              <w:spacing w:before="40" w:after="40"/>
            </w:pPr>
            <w:r>
              <w:rPr>
                <w:rFonts w:ascii="Calibri" w:hAnsi="Calibri"/>
                <w:b/>
                <w:color w:val="2D3748"/>
                <w:sz w:val="17"/>
              </w:rPr>
              <w:t>RF-11: Identificación y menú interactivo</w:t>
            </w:r>
          </w:p>
        </w:tc>
        <w:tc>
          <w:tcPr>
            <w:tcW w:type="dxa" w:w="2340"/>
          </w:tcPr>
          <w:p>
            <w:pPr>
              <w:spacing w:before="40" w:after="40"/>
            </w:pPr>
            <w:r>
              <w:rPr>
                <w:rFonts w:ascii="Calibri" w:hAnsi="Calibri"/>
                <w:color w:val="2D3748"/>
                <w:sz w:val="17"/>
              </w:rPr>
              <w:t>Guiar al cliente según su DNI o registrar datos parciales.</w:t>
            </w:r>
          </w:p>
        </w:tc>
        <w:tc>
          <w:tcPr>
            <w:tcW w:type="dxa" w:w="2340"/>
          </w:tcPr>
          <w:p>
            <w:pPr>
              <w:spacing w:before="40" w:after="40"/>
            </w:pPr>
            <w:r>
              <w:rPr>
                <w:rFonts w:ascii="Calibri" w:hAnsi="Calibri"/>
                <w:color w:val="2D3748"/>
                <w:sz w:val="17"/>
              </w:rPr>
              <w:t>conversacion: estado_flujo, datos_registro (JSON).</w:t>
            </w:r>
          </w:p>
        </w:tc>
        <w:tc>
          <w:tcPr>
            <w:tcW w:type="dxa" w:w="2340"/>
          </w:tcPr>
          <w:p>
            <w:pPr>
              <w:spacing w:before="40" w:after="40"/>
            </w:pPr>
            <w:r>
              <w:rPr>
                <w:rFonts w:ascii="Calibri" w:hAnsi="Calibri"/>
                <w:color w:val="2D3748"/>
                <w:sz w:val="17"/>
              </w:rPr>
              <w:t>ServicioMenuWhatsapp / ServicioRegistroClienteWhatsapp</w:t>
            </w:r>
          </w:p>
        </w:tc>
      </w:tr>
      <w:tr>
        <w:tc>
          <w:tcPr>
            <w:tcW w:type="dxa" w:w="2340"/>
            <w:shd w:fill="F7FAFC"/>
          </w:tcPr>
          <w:p>
            <w:pPr>
              <w:spacing w:before="40" w:after="40"/>
            </w:pPr>
            <w:r>
              <w:rPr>
                <w:rFonts w:ascii="Calibri" w:hAnsi="Calibri"/>
                <w:b/>
                <w:color w:val="2D3748"/>
                <w:sz w:val="17"/>
              </w:rPr>
              <w:t>RF-12: Consulta de estado de cuenta</w:t>
            </w:r>
          </w:p>
        </w:tc>
        <w:tc>
          <w:tcPr>
            <w:tcW w:type="dxa" w:w="2340"/>
          </w:tcPr>
          <w:p>
            <w:pPr>
              <w:spacing w:before="40" w:after="40"/>
            </w:pPr>
            <w:r>
              <w:rPr>
                <w:rFonts w:ascii="Calibri" w:hAnsi="Calibri"/>
                <w:color w:val="2D3748"/>
                <w:sz w:val="17"/>
              </w:rPr>
              <w:t>Recuperar deudas vencidas y datos bancarios desde WhatsApp.</w:t>
            </w:r>
          </w:p>
        </w:tc>
        <w:tc>
          <w:tcPr>
            <w:tcW w:type="dxa" w:w="2340"/>
          </w:tcPr>
          <w:p>
            <w:pPr>
              <w:spacing w:before="40" w:after="40"/>
            </w:pPr>
            <w:r>
              <w:rPr>
                <w:rFonts w:ascii="Calibri" w:hAnsi="Calibri"/>
                <w:color w:val="2D3748"/>
                <w:sz w:val="17"/>
              </w:rPr>
              <w:t>Relaciones Cuota-Servicio-Cliente vinculadas al chat.</w:t>
            </w:r>
          </w:p>
        </w:tc>
        <w:tc>
          <w:tcPr>
            <w:tcW w:type="dxa" w:w="2340"/>
          </w:tcPr>
          <w:p>
            <w:pPr>
              <w:spacing w:before="40" w:after="40"/>
            </w:pPr>
            <w:r>
              <w:rPr>
                <w:rFonts w:ascii="Calibri" w:hAnsi="Calibri"/>
                <w:color w:val="2D3748"/>
                <w:sz w:val="17"/>
              </w:rPr>
              <w:t>ServicioConsultaCuentaWhatsapp / Modelo Cuota</w:t>
            </w:r>
          </w:p>
        </w:tc>
      </w:tr>
      <w:tr>
        <w:tc>
          <w:tcPr>
            <w:tcW w:type="dxa" w:w="2340"/>
            <w:shd w:fill="F7FAFC"/>
          </w:tcPr>
          <w:p>
            <w:pPr>
              <w:spacing w:before="40" w:after="40"/>
            </w:pPr>
            <w:r>
              <w:rPr>
                <w:rFonts w:ascii="Calibri" w:hAnsi="Calibri"/>
                <w:b/>
                <w:color w:val="2D3748"/>
                <w:sz w:val="17"/>
              </w:rPr>
              <w:t>RF-13: Reconocimiento de intenciones IA</w:t>
            </w:r>
          </w:p>
        </w:tc>
        <w:tc>
          <w:tcPr>
            <w:tcW w:type="dxa" w:w="2340"/>
          </w:tcPr>
          <w:p>
            <w:pPr>
              <w:spacing w:before="40" w:after="40"/>
            </w:pPr>
            <w:r>
              <w:rPr>
                <w:rFonts w:ascii="Calibri" w:hAnsi="Calibri"/>
                <w:color w:val="2D3748"/>
                <w:sz w:val="17"/>
              </w:rPr>
              <w:t>Detectar motivo del mensaje y tolerar fallas de NLP.</w:t>
            </w:r>
          </w:p>
        </w:tc>
        <w:tc>
          <w:tcPr>
            <w:tcW w:type="dxa" w:w="2340"/>
          </w:tcPr>
          <w:p>
            <w:pPr>
              <w:spacing w:before="40" w:after="40"/>
            </w:pPr>
            <w:r>
              <w:rPr>
                <w:rFonts w:ascii="Calibri" w:hAnsi="Calibri"/>
                <w:color w:val="2D3748"/>
                <w:sz w:val="17"/>
              </w:rPr>
              <w:t>conversacion.intentos_intencion, clase IAService.</w:t>
            </w:r>
          </w:p>
        </w:tc>
        <w:tc>
          <w:tcPr>
            <w:tcW w:type="dxa" w:w="2340"/>
          </w:tcPr>
          <w:p>
            <w:pPr>
              <w:spacing w:before="40" w:after="40"/>
            </w:pPr>
            <w:r>
              <w:rPr>
                <w:rFonts w:ascii="Calibri" w:hAnsi="Calibri"/>
                <w:color w:val="2D3748"/>
                <w:sz w:val="17"/>
              </w:rPr>
              <w:t>ServicioReconocimientoIntencionWhatsapp</w:t>
            </w:r>
          </w:p>
        </w:tc>
      </w:tr>
      <w:tr>
        <w:tc>
          <w:tcPr>
            <w:tcW w:type="dxa" w:w="2340"/>
            <w:shd w:fill="F7FAFC"/>
          </w:tcPr>
          <w:p>
            <w:pPr>
              <w:spacing w:before="40" w:after="40"/>
            </w:pPr>
            <w:r>
              <w:rPr>
                <w:rFonts w:ascii="Calibri" w:hAnsi="Calibri"/>
                <w:b/>
                <w:color w:val="2D3748"/>
                <w:sz w:val="17"/>
              </w:rPr>
              <w:t>RF-14: Recepción de comprobantes OCR</w:t>
            </w:r>
          </w:p>
        </w:tc>
        <w:tc>
          <w:tcPr>
            <w:tcW w:type="dxa" w:w="2340"/>
          </w:tcPr>
          <w:p>
            <w:pPr>
              <w:spacing w:before="40" w:after="40"/>
            </w:pPr>
            <w:r>
              <w:rPr>
                <w:rFonts w:ascii="Calibri" w:hAnsi="Calibri"/>
                <w:color w:val="2D3748"/>
                <w:sz w:val="17"/>
              </w:rPr>
              <w:t>Validar montos, evitar pagos duplicados y registrar hash.</w:t>
            </w:r>
          </w:p>
        </w:tc>
        <w:tc>
          <w:tcPr>
            <w:tcW w:type="dxa" w:w="2340"/>
          </w:tcPr>
          <w:p>
            <w:pPr>
              <w:spacing w:before="40" w:after="40"/>
            </w:pPr>
            <w:r>
              <w:rPr>
                <w:rFonts w:ascii="Calibri" w:hAnsi="Calibri"/>
                <w:color w:val="2D3748"/>
                <w:sz w:val="17"/>
              </w:rPr>
              <w:t>comprobante: hash_archivo UNIQUE, monto_ocr, confianza_ocr.</w:t>
            </w:r>
          </w:p>
        </w:tc>
        <w:tc>
          <w:tcPr>
            <w:tcW w:type="dxa" w:w="2340"/>
          </w:tcPr>
          <w:p>
            <w:pPr>
              <w:spacing w:before="40" w:after="40"/>
            </w:pPr>
            <w:r>
              <w:rPr>
                <w:rFonts w:ascii="Calibri" w:hAnsi="Calibri"/>
                <w:color w:val="2D3748"/>
                <w:sz w:val="17"/>
              </w:rPr>
              <w:t>ServicioRegistroComprobanteWhatsapp / Comprobante</w:t>
            </w:r>
          </w:p>
        </w:tc>
      </w:tr>
      <w:tr>
        <w:tc>
          <w:tcPr>
            <w:tcW w:type="dxa" w:w="2340"/>
            <w:shd w:fill="F7FAFC"/>
          </w:tcPr>
          <w:p>
            <w:pPr>
              <w:spacing w:before="40" w:after="40"/>
            </w:pPr>
            <w:r>
              <w:rPr>
                <w:rFonts w:ascii="Calibri" w:hAnsi="Calibri"/>
                <w:b/>
                <w:color w:val="2D3748"/>
                <w:sz w:val="17"/>
              </w:rPr>
              <w:t>RF-15: Derivación y atención humana</w:t>
            </w:r>
          </w:p>
        </w:tc>
        <w:tc>
          <w:tcPr>
            <w:tcW w:type="dxa" w:w="2340"/>
          </w:tcPr>
          <w:p>
            <w:pPr>
              <w:spacing w:before="40" w:after="40"/>
            </w:pPr>
            <w:r>
              <w:rPr>
                <w:rFonts w:ascii="Calibri" w:hAnsi="Calibri"/>
                <w:color w:val="2D3748"/>
                <w:sz w:val="17"/>
              </w:rPr>
              <w:t>Escalar chats no resueltos o con fallos reiterados.</w:t>
            </w:r>
          </w:p>
        </w:tc>
        <w:tc>
          <w:tcPr>
            <w:tcW w:type="dxa" w:w="2340"/>
          </w:tcPr>
          <w:p>
            <w:pPr>
              <w:spacing w:before="40" w:after="40"/>
            </w:pPr>
            <w:r>
              <w:rPr>
                <w:rFonts w:ascii="Calibri" w:hAnsi="Calibri"/>
                <w:color w:val="2D3748"/>
                <w:sz w:val="17"/>
              </w:rPr>
              <w:t>conversacion: id_usuario_atencion, modo_atencion.</w:t>
            </w:r>
          </w:p>
        </w:tc>
        <w:tc>
          <w:tcPr>
            <w:tcW w:type="dxa" w:w="2340"/>
          </w:tcPr>
          <w:p>
            <w:pPr>
              <w:spacing w:before="40" w:after="40"/>
            </w:pPr>
            <w:r>
              <w:rPr>
                <w:rFonts w:ascii="Calibri" w:hAnsi="Calibri"/>
                <w:color w:val="2D3748"/>
                <w:sz w:val="17"/>
              </w:rPr>
              <w:t>ServicioAtencionHumanaWhatsapp</w:t>
            </w:r>
          </w:p>
        </w:tc>
      </w:tr>
      <w:tr>
        <w:tc>
          <w:tcPr>
            <w:tcW w:type="dxa" w:w="2340"/>
            <w:shd w:fill="F7FAFC"/>
          </w:tcPr>
          <w:p>
            <w:pPr>
              <w:spacing w:before="40" w:after="40"/>
            </w:pPr>
            <w:r>
              <w:rPr>
                <w:rFonts w:ascii="Calibri" w:hAnsi="Calibri"/>
                <w:b/>
                <w:color w:val="2D3748"/>
                <w:sz w:val="17"/>
              </w:rPr>
              <w:t>RF-16: Registro de reclamos técnicos</w:t>
            </w:r>
          </w:p>
        </w:tc>
        <w:tc>
          <w:tcPr>
            <w:tcW w:type="dxa" w:w="2340"/>
          </w:tcPr>
          <w:p>
            <w:pPr>
              <w:spacing w:before="40" w:after="40"/>
            </w:pPr>
            <w:r>
              <w:rPr>
                <w:rFonts w:ascii="Calibri" w:hAnsi="Calibri"/>
                <w:color w:val="2D3748"/>
                <w:sz w:val="17"/>
              </w:rPr>
              <w:t>Vincular el reclamo originado en WhatsApp a un servicio.</w:t>
            </w:r>
          </w:p>
        </w:tc>
        <w:tc>
          <w:tcPr>
            <w:tcW w:type="dxa" w:w="2340"/>
          </w:tcPr>
          <w:p>
            <w:pPr>
              <w:spacing w:before="40" w:after="40"/>
            </w:pPr>
            <w:r>
              <w:rPr>
                <w:rFonts w:ascii="Calibri" w:hAnsi="Calibri"/>
                <w:color w:val="2D3748"/>
                <w:sz w:val="17"/>
              </w:rPr>
              <w:t>ticket: id_conversacion, id_servicio, id_empleado.</w:t>
            </w:r>
          </w:p>
        </w:tc>
        <w:tc>
          <w:tcPr>
            <w:tcW w:type="dxa" w:w="2340"/>
          </w:tcPr>
          <w:p>
            <w:pPr>
              <w:spacing w:before="40" w:after="40"/>
            </w:pPr>
            <w:r>
              <w:rPr>
                <w:rFonts w:ascii="Calibri" w:hAnsi="Calibri"/>
                <w:color w:val="2D3748"/>
                <w:sz w:val="17"/>
              </w:rPr>
              <w:t>ServicioRegistroReclamoWhatsapp / Ticket</w:t>
            </w:r>
          </w:p>
        </w:tc>
      </w:tr>
      <w:tr>
        <w:tc>
          <w:tcPr>
            <w:tcW w:type="dxa" w:w="2340"/>
            <w:shd w:fill="F7FAFC"/>
          </w:tcPr>
          <w:p>
            <w:pPr>
              <w:spacing w:before="40" w:after="40"/>
            </w:pPr>
            <w:r>
              <w:rPr>
                <w:rFonts w:ascii="Calibri" w:hAnsi="Calibri"/>
                <w:b/>
                <w:color w:val="2D3748"/>
                <w:sz w:val="17"/>
              </w:rPr>
              <w:t>RF-17 y RF-18: Avisos de vencimiento</w:t>
            </w:r>
          </w:p>
        </w:tc>
        <w:tc>
          <w:tcPr>
            <w:tcW w:type="dxa" w:w="2340"/>
          </w:tcPr>
          <w:p>
            <w:pPr>
              <w:spacing w:before="40" w:after="40"/>
            </w:pPr>
            <w:r>
              <w:rPr>
                <w:rFonts w:ascii="Calibri" w:hAnsi="Calibri"/>
                <w:color w:val="2D3748"/>
                <w:sz w:val="17"/>
              </w:rPr>
              <w:t>Enviar notificaciones preventivas y de mora auditables.</w:t>
            </w:r>
          </w:p>
        </w:tc>
        <w:tc>
          <w:tcPr>
            <w:tcW w:type="dxa" w:w="2340"/>
          </w:tcPr>
          <w:p>
            <w:pPr>
              <w:spacing w:before="40" w:after="40"/>
            </w:pPr>
            <w:r>
              <w:rPr>
                <w:rFonts w:ascii="Calibri" w:hAnsi="Calibri"/>
                <w:color w:val="2D3748"/>
                <w:sz w:val="17"/>
              </w:rPr>
              <w:t>Nueva entidad AvisoVencimiento (1:N con cuota).</w:t>
            </w:r>
          </w:p>
        </w:tc>
        <w:tc>
          <w:tcPr>
            <w:tcW w:type="dxa" w:w="2340"/>
          </w:tcPr>
          <w:p>
            <w:pPr>
              <w:spacing w:before="40" w:after="40"/>
            </w:pPr>
            <w:r>
              <w:rPr>
                <w:rFonts w:ascii="Calibri" w:hAnsi="Calibri"/>
                <w:color w:val="2D3748"/>
                <w:sz w:val="17"/>
              </w:rPr>
              <w:t>ServicioAvisosVencimiento / AvisoVencimiento</w:t>
            </w:r>
          </w:p>
        </w:tc>
      </w:tr>
    </w:tbl>
    <w:p>
      <w:pPr>
        <w:spacing w:after="160"/>
      </w:pPr>
    </w:p>
    <w:p>
      <w:pPr>
        <w:keepNext/>
        <w:spacing w:before="320" w:after="120"/>
      </w:pPr>
      <w:r>
        <w:rPr>
          <w:rFonts w:ascii="Calibri" w:hAnsi="Calibri"/>
          <w:b/>
          <w:color w:val="1A365D"/>
          <w:sz w:val="30"/>
        </w:rPr>
        <w:t>5. Conclusiones</w:t>
      </w:r>
    </w:p>
    <w:p>
      <w:pPr>
        <w:spacing w:before="0" w:after="100" w:line="276" w:lineRule="auto"/>
      </w:pPr>
      <w:r>
        <w:rPr>
          <w:rFonts w:ascii="Calibri" w:hAnsi="Calibri"/>
          <w:b/>
          <w:color w:val="2D3748"/>
          <w:sz w:val="22"/>
        </w:rPr>
        <w:t xml:space="preserve">• </w:t>
      </w:r>
      <w:r>
        <w:rPr>
          <w:rFonts w:ascii="Calibri" w:hAnsi="Calibri"/>
          <w:i w:val="0"/>
          <w:color w:val="2D3748"/>
          <w:sz w:val="22"/>
        </w:rPr>
        <w:t>1. Rigor Metodológico: El proceso llevado a cabo ejemplifica el valor práctico del ciclo de vida incremental. La revisión de los requerimientos detallados permitió anticipar inconsistencias de negocio y resolverlas a nivel de modelo antes de comprometer la base de datos y la codificación final.</w:t>
      </w:r>
    </w:p>
    <w:p>
      <w:pPr>
        <w:spacing w:before="0" w:after="100" w:line="276" w:lineRule="auto"/>
      </w:pPr>
      <w:r>
        <w:rPr>
          <w:rFonts w:ascii="Calibri" w:hAnsi="Calibri"/>
          <w:b/>
          <w:color w:val="2D3748"/>
          <w:sz w:val="22"/>
        </w:rPr>
        <w:t xml:space="preserve">• </w:t>
      </w:r>
      <w:r>
        <w:rPr>
          <w:rFonts w:ascii="Calibri" w:hAnsi="Calibri"/>
          <w:i w:val="0"/>
          <w:color w:val="2D3748"/>
          <w:sz w:val="22"/>
        </w:rPr>
        <w:t>2. Integridad y Coherencia del Sistema: Todos los diagramas (.drawio) del proyecto reflejan con exactitud el dominio del problema y se encuentran en total sincronía con las migraciones, modelos Eloquent y servicios de negocio desarrollados.</w:t>
      </w:r>
    </w:p>
    <w:p>
      <w:pPr>
        <w:spacing w:before="0" w:after="100" w:line="276" w:lineRule="auto"/>
      </w:pPr>
      <w:r>
        <w:rPr>
          <w:rFonts w:ascii="Calibri" w:hAnsi="Calibri"/>
          <w:b/>
          <w:color w:val="2D3748"/>
          <w:sz w:val="22"/>
        </w:rPr>
        <w:t xml:space="preserve">• </w:t>
      </w:r>
      <w:r>
        <w:rPr>
          <w:rFonts w:ascii="Calibri" w:hAnsi="Calibri"/>
          <w:i w:val="0"/>
          <w:color w:val="2D3748"/>
          <w:sz w:val="22"/>
        </w:rPr>
        <w:t>3. Base Sólida para el Módulo 3: Al dejar correctamente normalizadas y documentadas las entidades Comprobante, Pago y CuentaReceptora con sus restricciones de hash y unicidad, el sistema queda técnicamente preparado para la implementación exhaustiva del pipeline OCR de comprobantes en el Módulo 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