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787878"/>
          <w:sz w:val="20"/>
        </w:rPr>
        <w:t>UNIVERSIDAD DE LA CUENCA DEL PLATA — SEDE FORMOSA</w:t>
        <w:br/>
        <w:t>SEMINARIO DE INTEGRACIÓN (2026)</w:t>
        <w:br/>
      </w:r>
      <w:r>
        <w:rPr>
          <w:b/>
          <w:color w:val="1565C0"/>
          <w:sz w:val="36"/>
        </w:rPr>
        <w:t>INFORME DE MODIFICACIONES Y TRAZABILIDAD DE DIAGRAMAS</w:t>
        <w:br/>
        <w:t>PREVIO AL DESARROLLO DEL MÓDULO 3</w:t>
        <w:br/>
      </w:r>
      <w:r>
        <w:rPr>
          <w:i/>
          <w:color w:val="555555"/>
          <w:sz w:val="24"/>
        </w:rPr>
        <w:t>Alineación de Requerimientos Funcionales, Paradigma de Objetos (UML) y Arquitectura BCE para la Gestión de Pagos y Comprobantes</w:t>
      </w:r>
    </w:p>
    <w:p>
      <w:pPr>
        <w:spacing w:before="160" w:after="480"/>
        <w:jc w:val="center"/>
      </w:pPr>
      <w:r>
        <w:rPr>
          <w:color w:val="646464"/>
          <w:sz w:val="19"/>
        </w:rPr>
        <w:t>Sistema: Villafañe Wifi (Gestión y Atención) | Rama de Trabajo: modulo-3-pagos</w:t>
        <w:br/>
        <w:t>Autores: Belazquez Agustín Lautaro - Serrano Ulises Iván | Docente: Dr. Cristian Fernando Cerquand</w:t>
      </w:r>
    </w:p>
    <w:p>
      <w:pPr>
        <w:spacing w:after="160"/>
      </w:pPr>
    </w:p>
    <w:p>
      <w:pPr>
        <w:pStyle w:val="Heading1"/>
        <w:keepNext/>
        <w:spacing w:before="280" w:after="120"/>
      </w:pPr>
      <w:r>
        <w:rPr>
          <w:color w:val="1565C0"/>
          <w:sz w:val="32"/>
        </w:rPr>
        <w:t>1. Introducción y Propósito del Documento</w:t>
      </w:r>
    </w:p>
    <w:p>
      <w:r>
        <w:t>El presente documento técnico tiene como propósito registrar, fundamentar y formalizar la revisión metodológica efectuada sobre los diagramas del sistema Villafañe Wifi con anterioridad al inicio de la codificación del Módulo 3: Gestión de Pagos y Comprobantes. A partir de una discrepancia histórica entre el avance de código inicial y los artefactos de análisis, se realizó una auditoría exhaustiva contra el Informe del Sistema (especificación de 46 Requerimientos Funcionales) y el material teórico de la cátedra de Programación Orientada a Objetos y Base de Datos (UCP). El objetivo fue asegurar que los modelos reflejen con total exactitud las necesidades de negocio del módulo de pagos antes de escribir una sola línea de código en Laravel.</w:t>
      </w:r>
    </w:p>
    <w:p>
      <w:pPr>
        <w:spacing w:before="120" w:after="120"/>
        <w:ind w:left="576" w:right="576"/>
        <w:pBdr>
          <w:left w:val="single" w:sz="24" w:space="12" w:color="1565C0"/>
        </w:pBdr>
        <w:shd w:fill="F4F7FB"/>
      </w:pPr>
      <w:r>
        <w:rPr>
          <w:b/>
          <w:color w:val="1565C0"/>
        </w:rPr>
        <w:t xml:space="preserve">Principio de Calidad: </w:t>
      </w:r>
      <w:r>
        <w:rPr>
          <w:sz w:val="21"/>
        </w:rPr>
        <w:t>La ingeniería de software aplicada garantiza que la arquitectura de clases, casos de uso y secuencias sea el plano maestro riguroso que gobierne la implementación en Laravel 13 y MariaDB, evitando retrabajos y garantizando la pureza de los paradigmas establecidos por la cátedra.</w:t>
      </w:r>
    </w:p>
    <w:p>
      <w:pPr>
        <w:pStyle w:val="Heading1"/>
        <w:keepNext/>
        <w:spacing w:before="280" w:after="120"/>
      </w:pPr>
      <w:r>
        <w:rPr>
          <w:color w:val="1565C0"/>
          <w:sz w:val="32"/>
        </w:rPr>
        <w:t>2. Marco Metodológico y Criterios Teóricos de Cátedra</w:t>
      </w:r>
    </w:p>
    <w:p>
      <w:r>
        <w:t>Las modificaciones y creaciones de diagramas se rigieron bajo tres pilares teóricos fundamentales:</w:t>
      </w:r>
    </w:p>
    <w:p>
      <w:pPr>
        <w:pStyle w:val="Heading2"/>
        <w:keepNext/>
        <w:spacing w:before="280" w:after="120"/>
      </w:pPr>
      <w:r>
        <w:rPr>
          <w:color w:val="2E7D32"/>
          <w:sz w:val="26"/>
        </w:rPr>
        <w:t>2.1. Paradigma de Objetos Puro vs. Modelo Relacional en el Diagrama de Clases</w:t>
      </w:r>
    </w:p>
    <w:p>
      <w:r>
        <w:t>De acuerdo con la teoría de cátedra de POO (Meses 1 al 4: Clases, Métodos, Herencia y Polimorfismo), un diagrama de clases UML describe estructuras de objetos en memoria y no tablas relacionales. Existía un vicio de diseño ('pensamiento relacional') donde se incluían atributos de clave foránea enteros (ej. idCliente : int, idServicio : int, idPago : int). En POO, las relaciones se representan mediante asociaciones gráficas y atributos de referencia a objetos colaboradores, por lo que duplicar claves foráneas primitivas contraviene el principio de encapsulamiento y Tell, Don't Ask.</w:t>
      </w:r>
    </w:p>
    <w:p>
      <w:pPr>
        <w:pStyle w:val="Heading2"/>
        <w:keepNext/>
        <w:spacing w:before="280" w:after="120"/>
      </w:pPr>
      <w:r>
        <w:rPr>
          <w:color w:val="2E7D32"/>
          <w:sz w:val="26"/>
        </w:rPr>
        <w:t>2.2. Semántica Formal de Casos de Uso (UML)</w:t>
      </w:r>
    </w:p>
    <w:p>
      <w:r>
        <w:t>En el modelado de casos de uso se aplicaron estrictamente las reglas formales de extensión e inclusión:</w:t>
        <w:br/>
        <w:t>• «include»: Representa un paso obligatorio que siempre se ejecuta como parte del caso de uso base. La flecha se dirige del caso base al caso incluido.</w:t>
        <w:br/>
        <w:t>• «extend»: Representa un comportamiento opcional o condicional que se activa bajo una condición específica (punto de extensión explícito entre corchetes). La flecha se dirige del caso extensor hacia el caso base.</w:t>
        <w:br/>
        <w:t>• Actores Externos / Secundarios: Los sistemas de terceros que participan en transacciones (como la Billetera Virtual / Mercado Pago) deben modelarse como actores externos secundarios con estereotipo &lt;&lt;external&gt;&gt; o notación de sistema.</w:t>
      </w:r>
    </w:p>
    <w:p>
      <w:pPr>
        <w:pStyle w:val="Heading2"/>
        <w:keepNext/>
        <w:spacing w:before="280" w:after="120"/>
      </w:pPr>
      <w:r>
        <w:rPr>
          <w:color w:val="2E7D32"/>
          <w:sz w:val="26"/>
        </w:rPr>
        <w:t>2.3. Patrón Arquitectónico BCE en Diagramas de Secuencia</w:t>
      </w:r>
    </w:p>
    <w:p>
      <w:r>
        <w:t>Para reflejar la trazabilidad entre capas, los diagramas de secuencia se estructuraron bajo el estándar Boundary-Controller-Entity (BCE):</w:t>
        <w:br/>
        <w:t>• Boundary (Límite): Pantallas web (Panel Blade) o interfaces de comunicación (WhatsApp Webhook).</w:t>
        <w:br/>
        <w:t>• Controller (Controlador): Controladores HTTP de Laravel que procesan peticiones y validan accesos.</w:t>
        <w:br/>
        <w:t>• Service / Control (Dominio): Clases de servicio donde reside la lógica de negocio (ServicioComprobantes, ServicioFacturacion, NotificacionService).</w:t>
        <w:br/>
        <w:t>• Entity (Persistencia): Base de datos MariaDB y modelos Eloquent.</w:t>
      </w:r>
    </w:p>
    <w:p>
      <w:pPr>
        <w:pStyle w:val="Heading1"/>
        <w:keepNext/>
        <w:spacing w:before="280" w:after="120"/>
      </w:pPr>
      <w:r>
        <w:rPr>
          <w:color w:val="1565C0"/>
          <w:sz w:val="32"/>
        </w:rPr>
        <w:t>3. Modificaciones Realizadas en Diagramas Generales</w:t>
      </w:r>
    </w:p>
    <w:p>
      <w:r>
        <w:t>Antes de modelar el Módulo 3, fue indispensable corregir y calibrar los diagramas transversales para dar soporte a la gestión de pagos:</w:t>
      </w:r>
    </w:p>
    <w:p>
      <w:pPr>
        <w:pStyle w:val="Heading2"/>
        <w:keepNext/>
        <w:spacing w:before="280" w:after="120"/>
      </w:pPr>
      <w:r>
        <w:rPr>
          <w:color w:val="2E7D32"/>
          <w:sz w:val="26"/>
        </w:rPr>
        <w:t>3.1. Correcciones en el Diagrama de Clases (Diagrama de clases.drawio)</w:t>
      </w:r>
    </w:p>
    <w:p>
      <w:r>
        <w:t>Se realizaron dos tipos de saneamiento estructural en el diagrama de clases:</w:t>
      </w:r>
    </w:p>
    <w:p>
      <w:pPr>
        <w:ind w:left="288"/>
      </w:pPr>
      <w:r>
        <w:rPr>
          <w:sz w:val="20"/>
        </w:rPr>
        <w:t>1. Eliminación de claves foráneas relacionales en 8 clases:</w:t>
        <w:br/>
        <w:t xml:space="preserve">   • Servicio: Se quitaron idServicio, idPlan, idCliente.</w:t>
        <w:br/>
        <w:t xml:space="preserve">   • Cuota: Se quitaron idCuota, idServicio, idPago; se incorporó el atributo de negocio 'estado : String'.</w:t>
        <w:br/>
        <w:t xml:space="preserve">   • Conversacion: Se quitaron idConversacion, idCliente, idEmpleado.</w:t>
        <w:br/>
        <w:t xml:space="preserve">   • Mensaje: Se quitaron idMensaje, idConversacion, idUsuario.</w:t>
        <w:br/>
        <w:t xml:space="preserve">   • Comprobante: Se quitaron idComprobante, idMensaje, idUsuario.</w:t>
        <w:br/>
        <w:t xml:space="preserve">   • Pago: Se quitaron idPago, idComprobante, idCuenta.</w:t>
        <w:br/>
        <w:t xml:space="preserve">   • CuentaReceptora: Se quitó idCuenta.</w:t>
        <w:br/>
        <w:t xml:space="preserve">   • Ticket: Se quitaron idTicket, idConversacion, idServicio, idUsuario.</w:t>
        <w:br/>
        <w:br/>
        <w:t>2. Actualización de firmas de constructores a Objetos POO:</w:t>
        <w:br/>
        <w:t xml:space="preserve">   • Pago: De Pago(idComprobante: int, idCuenta: int...) a Pago(comprobante: Comprobante, cuenta: CuentaReceptora, fecha: Date, montoTotal: BigDecimal, medioPago: String).</w:t>
        <w:br/>
        <w:t xml:space="preserve">   • Comprobante: De Comprobante(idMensaje: int...) a Comprobante(mensaje: Mensaje, hashArchivo: String, fechaRecepcion: DateTime).</w:t>
        <w:br/>
        <w:t xml:space="preserve">   • Cuota: De Cuota(idServicio: int...) a Cuota(servicio: Servicio, periodo: String, monto: BigDecimal...).</w:t>
        <w:br/>
        <w:t xml:space="preserve">   • Ticket: De Ticket(idConversacion: int, idServicio: int...) a Ticket(conversacion: Conversacion, servicio: Servicio, tipo: String, descripcion: String).</w:t>
        <w:br/>
        <w:br/>
        <w:t>3. Incorporación de métodos de negocio indispensables para el Módulo 3:</w:t>
        <w:br/>
        <w:t xml:space="preserve">   • Pago: Se agregó + imputarCuotas(cuotas: List&lt;Cuota&gt;) : void para modelar la cancelación en cascada de cuotas impagas al aprobar un pago (RF-25).</w:t>
        <w:br/>
        <w:t xml:space="preserve">   • OCRService: Se agregó + extraerNumeroOperacion(imagen: String) : String para contemplar la lectura del código bancario junto con el monto y fecha (RF-20).</w:t>
      </w:r>
    </w:p>
    <w:p>
      <w:pPr>
        <w:pStyle w:val="Heading2"/>
        <w:keepNext/>
        <w:spacing w:before="280" w:after="120"/>
      </w:pPr>
      <w:r>
        <w:rPr>
          <w:color w:val="2E7D32"/>
          <w:sz w:val="26"/>
        </w:rPr>
        <w:t>3.2. Saneamiento del Diagrama de Caso de Uso General (Diagrama Caso de uso general.drawio)</w:t>
      </w:r>
    </w:p>
    <w:p>
      <w:r>
        <w:t>En el diagrama general de casos de uso se validó y ratificó:</w:t>
        <w:br/>
        <w:t>• Mantenimiento del Actor Externo 'Billetera Virtual' (Mercado Pago) como actor secundario emisor de comprobantes y certificador de la transacción.</w:t>
        <w:br/>
        <w:t>• Conexión de los casos de uso 'Validar comprobante' y 'Confirmar pago' con los actores internos 'Empleado' y 'Dueño / Administrador' mediante la bandeja de conciliación web.</w:t>
        <w:br/>
        <w:t>• Consistencia de relaciones: 'Confirmar pago' incluye la 'Actualización de cuenta corriente' y 'Notificar resultado del pago', mientras que 'Solicitar reenvío' extiende de 'Enviar comprobante' ante fallos de lectura.</w:t>
      </w:r>
    </w:p>
    <w:p>
      <w:pPr>
        <w:pStyle w:val="Heading1"/>
        <w:keepNext/>
        <w:spacing w:before="280" w:after="120"/>
      </w:pPr>
      <w:r>
        <w:rPr>
          <w:color w:val="1565C0"/>
          <w:sz w:val="32"/>
        </w:rPr>
        <w:t>4. Nuevos Diagramas Específicos Creados para el Módulo 3</w:t>
      </w:r>
    </w:p>
    <w:p>
      <w:r>
        <w:t>Con la base general saneada, se procedió al diseño y formalización de los dos diagramas exclusivos del Módulo 3:</w:t>
      </w:r>
    </w:p>
    <w:p>
      <w:pPr>
        <w:pStyle w:val="Heading2"/>
        <w:keepNext/>
        <w:spacing w:before="280" w:after="120"/>
      </w:pPr>
      <w:r>
        <w:rPr>
          <w:color w:val="2E7D32"/>
          <w:sz w:val="26"/>
        </w:rPr>
        <w:t>4.1. Diagrama de Casos de Uso del Módulo 3 (Diagrama de Caso de Uso Modulo 3.drawio)</w:t>
      </w:r>
    </w:p>
    <w:p>
      <w:r>
        <w:t>Este diagrama modela exhaustivamente los límites y objetivos del subsistema de pagos:</w:t>
        <w:br/>
        <w:t>• Actores: Cliente (interactúa vía WhatsApp Bot), Billetera Virtual (Mercado Pago, actor externo secundario), Empleado (gestión en panel web) y Dueño / Administrador (gestión y parametrización de cuentas receptoras).</w:t>
        <w:br/>
        <w:t>• Paquete de Entrada y Anti-fraude: Enviar comprobante de pago («include» Procesar con OCR, «include» Verificar duplicidad por Hash SHA-256). Extensión condicional [OCR no concluyente] hacia Solicitar reenvío de comprobante, y extensión [Hash duplicado] hacia Alertar comprobante duplicado.</w:t>
        <w:br/>
        <w:t>• Paquete de Conciliación Web: Visualizar bandeja de conciliación («include» desde Validar comprobante). Extensión condicional [Comprobante legítimo] hacia Aprobar comprobante y registrar pago; y extensión [Comprobante inválido o inconsistente] hacia Rechazar comprobante.</w:t>
        <w:br/>
        <w:t>• Paquete de Imputación y Notificación: Aprobar comprobante desencadena obligatoriamente («include») la Imputación a cuotas pendientes por antigüedad, la Actualización del saldo en cuenta corriente y la Notificación de acreditación por WhatsApp. El Rechazo incluye obligatoriamente Registrar motivo de rechazo y Notificación de rechazo con motivo por WhatsApp.</w:t>
      </w:r>
    </w:p>
    <w:p>
      <w:pPr>
        <w:pStyle w:val="Heading2"/>
        <w:keepNext/>
        <w:spacing w:before="280" w:after="120"/>
      </w:pPr>
      <w:r>
        <w:rPr>
          <w:color w:val="2E7D32"/>
          <w:sz w:val="26"/>
        </w:rPr>
        <w:t>4.2. Diagrama de Secuencia del Módulo 3 (Diagrama de Secuencia Modulo 3.drawio)</w:t>
      </w:r>
    </w:p>
    <w:p>
      <w:r>
        <w:t>Diseñado bajo el patrón arquitectónico BCE, modela la interacción temporal del flujo de conciliación e imputación:</w:t>
        <w:br/>
        <w:t>• Participantes: Empleado/Administrador (Actor) | Panel Web (Boundary) | ControladorComprobantes (Controller) | ServicioComprobantes (Control/Dominio) | ServicioFacturacion (Control/Dominio) | NotificacionService (Control/Dominio) | Base de Datos MariaDB (Entity).</w:t>
        <w:br/>
        <w:t>• Fase 1 - Consulta: Carga de la bandeja comparativa con renderizado en pantalla dividida (imagen original + datos extraídos por OCR).</w:t>
        <w:br/>
        <w:t>• Fase 2 - Fragmento 'alt' (Bifurcación de Decisión):</w:t>
        <w:br/>
        <w:t xml:space="preserve">   - Rama APROBAR: Actualiza comprobante a 'aprobado' con auditoría de empleado; ServicioFacturacion crea registro Pago; consulta cuotas impagas del cliente ordenadas por vencimiento ascendente; ejecuta UPDATE en cuotas liquidándolas; descuenta saldo en Cliente; NotificacionService despacha WhatsApp confirmatorio; retorna alerta visual verde al panel.</w:t>
        <w:br/>
        <w:t xml:space="preserve">   - Rama RECHAZAR: Actualiza comprobante a 'rechazado' almacenando motivo obligatorio; NotificacionService despacha WhatsApp con causa de rechazo; retorna alerta visual roja al panel.</w:t>
      </w:r>
    </w:p>
    <w:p>
      <w:pPr>
        <w:pStyle w:val="Heading1"/>
        <w:keepNext/>
        <w:spacing w:before="280" w:after="120"/>
      </w:pPr>
      <w:r>
        <w:rPr>
          <w:color w:val="1565C0"/>
          <w:sz w:val="32"/>
        </w:rPr>
        <w:t>5. Matriz de Trazabilidad de Requerimientos del Módulo 3</w:t>
      </w:r>
    </w:p>
    <w:p>
      <w:r>
        <w:t>La siguiente matriz evidencia la correspondencia biunívoca entre la especificación de requerimientos y los artefactos de diseño creados: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565C0"/>
          </w:tcPr>
          <w:p>
            <w:r>
              <w:rPr>
                <w:b/>
                <w:color w:val="FFFFFF"/>
                <w:sz w:val="19"/>
              </w:rPr>
              <w:t>ID Requerimiento</w:t>
            </w:r>
          </w:p>
        </w:tc>
        <w:tc>
          <w:tcPr>
            <w:tcW w:type="dxa" w:w="2592"/>
            <w:shd w:fill="1565C0"/>
          </w:tcPr>
          <w:p>
            <w:r>
              <w:rPr>
                <w:b/>
                <w:color w:val="FFFFFF"/>
                <w:sz w:val="19"/>
              </w:rPr>
              <w:t>Caso de Uso Módulo 3</w:t>
            </w:r>
          </w:p>
        </w:tc>
        <w:tc>
          <w:tcPr>
            <w:tcW w:type="dxa" w:w="2592"/>
            <w:shd w:fill="1565C0"/>
          </w:tcPr>
          <w:p>
            <w:r>
              <w:rPr>
                <w:b/>
                <w:color w:val="FFFFFF"/>
                <w:sz w:val="19"/>
              </w:rPr>
              <w:t>Diagrama de Clases</w:t>
            </w:r>
          </w:p>
        </w:tc>
        <w:tc>
          <w:tcPr>
            <w:tcW w:type="dxa" w:w="2448"/>
            <w:shd w:fill="1565C0"/>
          </w:tcPr>
          <w:p>
            <w:r>
              <w:rPr>
                <w:b/>
                <w:color w:val="FFFFFF"/>
                <w:sz w:val="19"/>
              </w:rPr>
              <w:t>Diagrama de Secuencia (BCE)</w:t>
            </w:r>
          </w:p>
        </w:tc>
      </w:tr>
      <w:tr>
        <w:tc>
          <w:tcPr>
            <w:tcW w:type="dxa" w:w="1728"/>
          </w:tcPr>
          <w:p>
            <w:pPr>
              <w:spacing w:before="60" w:after="60"/>
            </w:pPr>
            <w:r>
              <w:rPr>
                <w:sz w:val="17"/>
              </w:rPr>
              <w:t>RF-19: Envío de comprobante</w:t>
            </w:r>
          </w:p>
        </w:tc>
        <w:tc>
          <w:tcPr>
            <w:tcW w:type="dxa" w:w="2592"/>
          </w:tcPr>
          <w:p>
            <w:pPr>
              <w:spacing w:before="60" w:after="60"/>
            </w:pPr>
            <w:r>
              <w:rPr>
                <w:sz w:val="17"/>
              </w:rPr>
              <w:t>Enviar comprobante de pago</w:t>
              <w:br/>
              <w:t>(Actor: Cliente)</w:t>
            </w:r>
          </w:p>
        </w:tc>
        <w:tc>
          <w:tcPr>
            <w:tcW w:type="dxa" w:w="2592"/>
          </w:tcPr>
          <w:p>
            <w:pPr>
              <w:spacing w:before="60" w:after="60"/>
            </w:pPr>
            <w:r>
              <w:rPr>
                <w:sz w:val="17"/>
              </w:rPr>
              <w:t>Mensaje 1--1 Comprobante</w:t>
              <w:br/>
              <w:t>WhatsAppService</w:t>
            </w:r>
          </w:p>
        </w:tc>
        <w:tc>
          <w:tcPr>
            <w:tcW w:type="dxa" w:w="2448"/>
          </w:tcPr>
          <w:p>
            <w:pPr>
              <w:spacing w:before="60" w:after="60"/>
            </w:pPr>
            <w:r>
              <w:rPr>
                <w:sz w:val="17"/>
              </w:rPr>
              <w:t>Recepción en Webhook /</w:t>
              <w:br/>
              <w:t>Boundary WhatsApp</w:t>
            </w:r>
          </w:p>
        </w:tc>
      </w:tr>
      <w:tr>
        <w:tc>
          <w:tcPr>
            <w:tcW w:type="dxa" w:w="1728"/>
          </w:tcPr>
          <w:p>
            <w:pPr>
              <w:spacing w:before="60" w:after="60"/>
            </w:pPr>
            <w:r>
              <w:rPr>
                <w:sz w:val="17"/>
              </w:rPr>
              <w:t>RF-20: Extracción OCR</w:t>
            </w:r>
          </w:p>
        </w:tc>
        <w:tc>
          <w:tcPr>
            <w:tcW w:type="dxa" w:w="2592"/>
          </w:tcPr>
          <w:p>
            <w:pPr>
              <w:spacing w:before="60" w:after="60"/>
            </w:pPr>
            <w:r>
              <w:rPr>
                <w:sz w:val="17"/>
              </w:rPr>
              <w:t>Procesar comprobante mediante OCR</w:t>
              <w:br/>
              <w:t>(«include»)</w:t>
            </w:r>
          </w:p>
        </w:tc>
        <w:tc>
          <w:tcPr>
            <w:tcW w:type="dxa" w:w="2592"/>
          </w:tcPr>
          <w:p>
            <w:pPr>
              <w:spacing w:before="60" w:after="60"/>
            </w:pPr>
            <w:r>
              <w:rPr>
                <w:sz w:val="17"/>
              </w:rPr>
              <w:t>OCRService (extraerMonto, extraerFecha, extraerNumeroOperacion)</w:t>
            </w:r>
          </w:p>
        </w:tc>
        <w:tc>
          <w:tcPr>
            <w:tcW w:type="dxa" w:w="2448"/>
          </w:tcPr>
          <w:p>
            <w:pPr>
              <w:spacing w:before="60" w:after="60"/>
            </w:pPr>
            <w:r>
              <w:rPr>
                <w:sz w:val="17"/>
              </w:rPr>
              <w:t>Llamada a OCR y seteo de campos en Comprobante</w:t>
            </w:r>
          </w:p>
        </w:tc>
      </w:tr>
      <w:tr>
        <w:tc>
          <w:tcPr>
            <w:tcW w:type="dxa" w:w="1728"/>
          </w:tcPr>
          <w:p>
            <w:pPr>
              <w:spacing w:before="60" w:after="60"/>
            </w:pPr>
            <w:r>
              <w:rPr>
                <w:sz w:val="17"/>
              </w:rPr>
              <w:t>RF-21: Reintento ante fallo</w:t>
            </w:r>
          </w:p>
        </w:tc>
        <w:tc>
          <w:tcPr>
            <w:tcW w:type="dxa" w:w="2592"/>
          </w:tcPr>
          <w:p>
            <w:pPr>
              <w:spacing w:before="60" w:after="60"/>
            </w:pPr>
            <w:r>
              <w:rPr>
                <w:sz w:val="17"/>
              </w:rPr>
              <w:t>Solicitar reenvío de comprobante</w:t>
              <w:br/>
              <w:t>(«extend» [OCR ilegible])</w:t>
            </w:r>
          </w:p>
        </w:tc>
        <w:tc>
          <w:tcPr>
            <w:tcW w:type="dxa" w:w="2592"/>
          </w:tcPr>
          <w:p>
            <w:pPr>
              <w:spacing w:before="60" w:after="60"/>
            </w:pPr>
            <w:r>
              <w:rPr>
                <w:sz w:val="17"/>
              </w:rPr>
              <w:t>Comprobante.confianzaOcr : double</w:t>
            </w:r>
          </w:p>
        </w:tc>
        <w:tc>
          <w:tcPr>
            <w:tcW w:type="dxa" w:w="2448"/>
          </w:tcPr>
          <w:p>
            <w:pPr>
              <w:spacing w:before="60" w:after="60"/>
            </w:pPr>
            <w:r>
              <w:rPr>
                <w:sz w:val="17"/>
              </w:rPr>
              <w:t>Mensaje bot solicitando foto clara</w:t>
            </w:r>
          </w:p>
        </w:tc>
      </w:tr>
      <w:tr>
        <w:tc>
          <w:tcPr>
            <w:tcW w:type="dxa" w:w="1728"/>
          </w:tcPr>
          <w:p>
            <w:pPr>
              <w:spacing w:before="60" w:after="60"/>
            </w:pPr>
            <w:r>
              <w:rPr>
                <w:sz w:val="17"/>
              </w:rPr>
              <w:t>RF-22: Detección duplicados</w:t>
            </w:r>
          </w:p>
        </w:tc>
        <w:tc>
          <w:tcPr>
            <w:tcW w:type="dxa" w:w="2592"/>
          </w:tcPr>
          <w:p>
            <w:pPr>
              <w:spacing w:before="60" w:after="60"/>
            </w:pPr>
            <w:r>
              <w:rPr>
                <w:sz w:val="17"/>
              </w:rPr>
              <w:t>Verificar duplicidad y Alertar duplicado («extend» [hash duplicado])</w:t>
            </w:r>
          </w:p>
        </w:tc>
        <w:tc>
          <w:tcPr>
            <w:tcW w:type="dxa" w:w="2592"/>
          </w:tcPr>
          <w:p>
            <w:pPr>
              <w:spacing w:before="60" w:after="60"/>
            </w:pPr>
            <w:r>
              <w:rPr>
                <w:sz w:val="17"/>
              </w:rPr>
              <w:t>Comprobante.esDuplicado()</w:t>
              <w:br/>
              <w:t>calcularHash() SHA-256</w:t>
            </w:r>
          </w:p>
        </w:tc>
        <w:tc>
          <w:tcPr>
            <w:tcW w:type="dxa" w:w="2448"/>
          </w:tcPr>
          <w:p>
            <w:pPr>
              <w:spacing w:before="60" w:after="60"/>
            </w:pPr>
            <w:r>
              <w:rPr>
                <w:sz w:val="17"/>
              </w:rPr>
              <w:t>SELECT COUNT por hash_archivo</w:t>
              <w:br/>
              <w:t>y generación de alerta</w:t>
            </w:r>
          </w:p>
        </w:tc>
      </w:tr>
      <w:tr>
        <w:tc>
          <w:tcPr>
            <w:tcW w:type="dxa" w:w="1728"/>
          </w:tcPr>
          <w:p>
            <w:pPr>
              <w:spacing w:before="60" w:after="60"/>
            </w:pPr>
            <w:r>
              <w:rPr>
                <w:sz w:val="17"/>
              </w:rPr>
              <w:t>RF-23: Bandeja conciliación</w:t>
            </w:r>
          </w:p>
        </w:tc>
        <w:tc>
          <w:tcPr>
            <w:tcW w:type="dxa" w:w="2592"/>
          </w:tcPr>
          <w:p>
            <w:pPr>
              <w:spacing w:before="60" w:after="60"/>
            </w:pPr>
            <w:r>
              <w:rPr>
                <w:sz w:val="17"/>
              </w:rPr>
              <w:t>Visualizar bandeja de conciliación</w:t>
              <w:br/>
              <w:t>(Empleado / Admin)</w:t>
            </w:r>
          </w:p>
        </w:tc>
        <w:tc>
          <w:tcPr>
            <w:tcW w:type="dxa" w:w="2592"/>
          </w:tcPr>
          <w:p>
            <w:pPr>
              <w:spacing w:before="60" w:after="60"/>
            </w:pPr>
            <w:r>
              <w:rPr>
                <w:sz w:val="17"/>
              </w:rPr>
              <w:t>Comprobante (montoOcr, fechaOcr, numeroOperacion, estado)</w:t>
            </w:r>
          </w:p>
        </w:tc>
        <w:tc>
          <w:tcPr>
            <w:tcW w:type="dxa" w:w="2448"/>
          </w:tcPr>
          <w:p>
            <w:pPr>
              <w:spacing w:before="60" w:after="60"/>
            </w:pPr>
            <w:r>
              <w:rPr>
                <w:sz w:val="17"/>
              </w:rPr>
              <w:t>GET /comprobantes/conciliacion</w:t>
              <w:br/>
              <w:t>Render vista blade dividida</w:t>
            </w:r>
          </w:p>
        </w:tc>
      </w:tr>
      <w:tr>
        <w:tc>
          <w:tcPr>
            <w:tcW w:type="dxa" w:w="1728"/>
          </w:tcPr>
          <w:p>
            <w:pPr>
              <w:spacing w:before="60" w:after="60"/>
            </w:pPr>
            <w:r>
              <w:rPr>
                <w:sz w:val="17"/>
              </w:rPr>
              <w:t>RF-24: Confirmación / Rechazo</w:t>
            </w:r>
          </w:p>
        </w:tc>
        <w:tc>
          <w:tcPr>
            <w:tcW w:type="dxa" w:w="2592"/>
          </w:tcPr>
          <w:p>
            <w:pPr>
              <w:spacing w:before="60" w:after="60"/>
            </w:pPr>
            <w:r>
              <w:rPr>
                <w:sz w:val="17"/>
              </w:rPr>
              <w:t>Aprobar comprobante / Rechazar comprobante («extend»)</w:t>
            </w:r>
          </w:p>
        </w:tc>
        <w:tc>
          <w:tcPr>
            <w:tcW w:type="dxa" w:w="2592"/>
          </w:tcPr>
          <w:p>
            <w:pPr>
              <w:spacing w:before="60" w:after="60"/>
            </w:pPr>
            <w:r>
              <w:rPr>
                <w:sz w:val="17"/>
              </w:rPr>
              <w:t>Comprobante.aprobar(Empleado)</w:t>
              <w:br/>
              <w:t>Comprobante.rechazar(Empleado, motivo)</w:t>
            </w:r>
          </w:p>
        </w:tc>
        <w:tc>
          <w:tcPr>
            <w:tcW w:type="dxa" w:w="2448"/>
          </w:tcPr>
          <w:p>
            <w:pPr>
              <w:spacing w:before="60" w:after="60"/>
            </w:pPr>
            <w:r>
              <w:rPr>
                <w:sz w:val="17"/>
              </w:rPr>
              <w:t>POST /comprobantes/{id}/validar</w:t>
              <w:br/>
              <w:t>Fragmento alt en Secuencia</w:t>
            </w:r>
          </w:p>
        </w:tc>
      </w:tr>
      <w:tr>
        <w:tc>
          <w:tcPr>
            <w:tcW w:type="dxa" w:w="1728"/>
          </w:tcPr>
          <w:p>
            <w:pPr>
              <w:spacing w:before="60" w:after="60"/>
            </w:pPr>
            <w:r>
              <w:rPr>
                <w:sz w:val="17"/>
              </w:rPr>
              <w:t>RF-25: Imputación automática</w:t>
            </w:r>
          </w:p>
        </w:tc>
        <w:tc>
          <w:tcPr>
            <w:tcW w:type="dxa" w:w="2592"/>
          </w:tcPr>
          <w:p>
            <w:pPr>
              <w:spacing w:before="60" w:after="60"/>
            </w:pPr>
            <w:r>
              <w:rPr>
                <w:sz w:val="17"/>
              </w:rPr>
              <w:t>Imputar pago a cuotas pendientes</w:t>
              <w:br/>
              <w:t>Actualizar saldo («include»)</w:t>
            </w:r>
          </w:p>
        </w:tc>
        <w:tc>
          <w:tcPr>
            <w:tcW w:type="dxa" w:w="2592"/>
          </w:tcPr>
          <w:p>
            <w:pPr>
              <w:spacing w:before="60" w:after="60"/>
            </w:pPr>
            <w:r>
              <w:rPr>
                <w:sz w:val="17"/>
              </w:rPr>
              <w:t>Pago.imputarCuotas()</w:t>
              <w:br/>
              <w:t>Cuota.marcarComoPagada()</w:t>
              <w:br/>
              <w:t>Pago.registrar()</w:t>
            </w:r>
          </w:p>
        </w:tc>
        <w:tc>
          <w:tcPr>
            <w:tcW w:type="dxa" w:w="2448"/>
          </w:tcPr>
          <w:p>
            <w:pPr>
              <w:spacing w:before="60" w:after="60"/>
            </w:pPr>
            <w:r>
              <w:rPr>
                <w:sz w:val="17"/>
              </w:rPr>
              <w:t>UPDATE cuota SET estado='pagada'</w:t>
              <w:br/>
              <w:t>UPDATE cliente SET saldo</w:t>
            </w:r>
          </w:p>
        </w:tc>
      </w:tr>
      <w:tr>
        <w:tc>
          <w:tcPr>
            <w:tcW w:type="dxa" w:w="1728"/>
          </w:tcPr>
          <w:p>
            <w:pPr>
              <w:spacing w:before="60" w:after="60"/>
            </w:pPr>
            <w:r>
              <w:rPr>
                <w:sz w:val="17"/>
              </w:rPr>
              <w:t>RF-26: Notificación WhatsApp</w:t>
            </w:r>
          </w:p>
        </w:tc>
        <w:tc>
          <w:tcPr>
            <w:tcW w:type="dxa" w:w="2592"/>
          </w:tcPr>
          <w:p>
            <w:pPr>
              <w:spacing w:before="60" w:after="60"/>
            </w:pPr>
            <w:r>
              <w:rPr>
                <w:sz w:val="17"/>
              </w:rPr>
              <w:t>Notificar acreditación / Notificar rechazo («include»)</w:t>
            </w:r>
          </w:p>
        </w:tc>
        <w:tc>
          <w:tcPr>
            <w:tcW w:type="dxa" w:w="2592"/>
          </w:tcPr>
          <w:p>
            <w:pPr>
              <w:spacing w:before="60" w:after="60"/>
            </w:pPr>
            <w:r>
              <w:rPr>
                <w:sz w:val="17"/>
              </w:rPr>
              <w:t>NotificacionService.notificarPagoConfirmado() / notificarPagoRechazado()</w:t>
            </w:r>
          </w:p>
        </w:tc>
        <w:tc>
          <w:tcPr>
            <w:tcW w:type="dxa" w:w="2448"/>
          </w:tcPr>
          <w:p>
            <w:pPr>
              <w:spacing w:before="60" w:after="60"/>
            </w:pPr>
            <w:r>
              <w:rPr>
                <w:sz w:val="17"/>
              </w:rPr>
              <w:t>Llamada asíncrona a WhatsApp API post-validación</w:t>
            </w:r>
          </w:p>
        </w:tc>
      </w:tr>
      <w:tr>
        <w:tc>
          <w:tcPr>
            <w:tcW w:type="dxa" w:w="1728"/>
          </w:tcPr>
          <w:p>
            <w:pPr>
              <w:spacing w:before="60" w:after="60"/>
            </w:pPr>
            <w:r>
              <w:rPr>
                <w:sz w:val="17"/>
              </w:rPr>
              <w:t>RF-09: Cuentas receptoras</w:t>
            </w:r>
          </w:p>
        </w:tc>
        <w:tc>
          <w:tcPr>
            <w:tcW w:type="dxa" w:w="2592"/>
          </w:tcPr>
          <w:p>
            <w:pPr>
              <w:spacing w:before="60" w:after="60"/>
            </w:pPr>
            <w:r>
              <w:rPr>
                <w:sz w:val="17"/>
              </w:rPr>
              <w:t>Gestionar cuentas receptoras</w:t>
              <w:br/>
              <w:t>(Actor: Administrador)</w:t>
            </w:r>
          </w:p>
        </w:tc>
        <w:tc>
          <w:tcPr>
            <w:tcW w:type="dxa" w:w="2592"/>
          </w:tcPr>
          <w:p>
            <w:pPr>
              <w:spacing w:before="60" w:after="60"/>
            </w:pPr>
            <w:r>
              <w:rPr>
                <w:sz w:val="17"/>
              </w:rPr>
              <w:t>CuentaReceptora (activar, desactivar, listarActivas)</w:t>
            </w:r>
          </w:p>
        </w:tc>
        <w:tc>
          <w:tcPr>
            <w:tcW w:type="dxa" w:w="2448"/>
          </w:tcPr>
          <w:p>
            <w:pPr>
              <w:spacing w:before="60" w:after="60"/>
            </w:pPr>
            <w:r>
              <w:rPr>
                <w:sz w:val="17"/>
              </w:rPr>
              <w:t>Asociación idPago con idCuenta en Base de Datos</w:t>
            </w:r>
          </w:p>
        </w:tc>
      </w:tr>
    </w:tbl>
    <w:p>
      <w:pPr>
        <w:pStyle w:val="Heading1"/>
        <w:keepNext/>
        <w:spacing w:before="280" w:after="120"/>
      </w:pPr>
      <w:r>
        <w:rPr>
          <w:color w:val="1565C0"/>
          <w:sz w:val="32"/>
        </w:rPr>
        <w:t>6. Conclusión y Visto Bueno para el Desarrollo</w:t>
      </w:r>
    </w:p>
    <w:p>
      <w:r>
        <w:t>Tras la culminación de este proceso de auditoría, reestructuración y modelado formal, se certifica que:</w:t>
        <w:br/>
        <w:t>1. Los diagramas generales y específicos se encuentran 100% alineados entre sí y con el Informe del Sistema.</w:t>
        <w:br/>
        <w:t>2. Se preservó el marco teórico de la cátedra de POO (pureza de objetos en clases, patrón BCE en secuencias, formalismo en casos de uso).</w:t>
        <w:br/>
        <w:t>3. La rama de desarrollo 'modulo-3-pagos' posee todos los artefactos de diseño sincronizados y respaldados en el repositorio Git.</w:t>
        <w:br/>
        <w:t>4. El equipo cuenta con la especificación técnica necesaria para iniciar de forma directa la codificación en Laravel 13 (migraciones de base de datos, modelos Eloquent, servicios de dominio y controladores de pagos).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