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SEMINARIO DE INTEGRACIÓN</w:t>
      </w:r>
    </w:p>
    <w:p>
      <w:pPr>
        <w:jc w:val="center"/>
      </w:pPr>
      <w:r>
        <w:rPr>
          <w:rFonts w:ascii="Aptos Display" w:hAnsi="Aptos Display"/>
          <w:b/>
          <w:color w:val="176B3A"/>
          <w:sz w:val="116"/>
        </w:rPr>
        <w:t>V</w:t>
      </w:r>
    </w:p>
    <w:p>
      <w:pPr>
        <w:pStyle w:val="Title"/>
        <w:jc w:val="center"/>
      </w:pPr>
      <w:r>
        <w:t>Módulo 2</w:t>
        <w:br/>
        <w:t>Bot de WhatsApp con asistencia inteligente</w:t>
      </w:r>
    </w:p>
    <w:p>
      <w:pPr>
        <w:jc w:val="center"/>
      </w:pPr>
      <w:r>
        <w:rPr>
          <w:b/>
        </w:rPr>
        <w:t>Informe inicial de arquitectura, funcionamiento, costos y plan de desarrollo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F3EC"/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759"/>
            <w:vAlign w:val="center"/>
          </w:tcPr>
          <w:p>
            <w:r>
              <w:t>Sistema de Gestión Integral y Atención al Cliente para Villafañe Wifi</w:t>
            </w:r>
          </w:p>
        </w:tc>
      </w:tr>
      <w:tr>
        <w:tc>
          <w:tcPr>
            <w:tcW w:type="dxa" w:w="4759"/>
            <w:shd w:fill="E8F3EC"/>
            <w:vAlign w:val="center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4759"/>
            <w:vAlign w:val="center"/>
          </w:tcPr>
          <w:p>
            <w:r>
              <w:t>Ulises Serrano · Agustín Belazquez</w:t>
            </w:r>
          </w:p>
        </w:tc>
      </w:tr>
      <w:tr>
        <w:tc>
          <w:tcPr>
            <w:tcW w:type="dxa" w:w="4759"/>
            <w:shd w:fill="E8F3EC"/>
            <w:vAlign w:val="center"/>
          </w:tcPr>
          <w:p>
            <w:r>
              <w:rPr>
                <w:b/>
              </w:rPr>
              <w:t>Tecnología vigente</w:t>
            </w:r>
          </w:p>
        </w:tc>
        <w:tc>
          <w:tcPr>
            <w:tcW w:type="dxa" w:w="4759"/>
            <w:vAlign w:val="center"/>
          </w:tcPr>
          <w:p>
            <w:r>
              <w:t>PHP 8.3+ · Laravel 13 · MariaDB 11.8 · WhatsApp Cloud API</w:t>
            </w:r>
          </w:p>
        </w:tc>
      </w:tr>
      <w:tr>
        <w:tc>
          <w:tcPr>
            <w:tcW w:type="dxa" w:w="4759"/>
            <w:shd w:fill="E8F3EC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759"/>
            <w:vAlign w:val="center"/>
          </w:tcPr>
          <w:p>
            <w:r>
              <w:t>10 de septiembre de 2026</w:t>
            </w:r>
          </w:p>
        </w:tc>
      </w:tr>
    </w:tbl>
    <w:p>
      <w:r>
        <w:br w:type="page"/>
      </w:r>
    </w:p>
    <w:p>
      <w:pPr>
        <w:pStyle w:val="Heading1"/>
        <w:spacing w:before="60" w:after="160"/>
      </w:pPr>
      <w:r>
        <w:t>1. Decisión y objetivo</w:t>
      </w:r>
    </w:p>
    <w:p>
      <w:r>
        <w:t>El módulo se integrará mediante la API oficial WhatsApp Business Platform (Cloud API), alojada por Meta. Laravel recibirá los eventos de WhatsApp por un webhook, almacenará cada conversación y mensaje en MariaDB y coordinará las respuestas automáticas, las consultas al sistema y la derivación a una persona.</w:t>
      </w:r>
    </w:p>
    <w:p>
      <w:r>
        <w:t>La primera entrega no conectará todavía un número productivo ni generará cargos: construirá la base de datos, las clases y las reglas de negocio de Conversación y Mensaje. Esto cubre la base del RF-16 y prepara RF-10, RF-11, RF-12, RF-13, RF-15 y RF-17.</w:t>
      </w:r>
    </w:p>
    <w:p>
      <w:pPr>
        <w:pStyle w:val="Heading1"/>
        <w:spacing w:before="60" w:after="160"/>
      </w:pPr>
      <w:r>
        <w:t>2. Cómo funcionará el bot</w:t>
      </w:r>
    </w:p>
    <w:p>
      <w:pPr>
        <w:pStyle w:val="ListNumber"/>
      </w:pPr>
      <w:r>
        <w:t>El cliente envía un mensaje al número de Villafañe Wifi.</w:t>
      </w:r>
    </w:p>
    <w:p>
      <w:pPr>
        <w:pStyle w:val="ListNumber"/>
      </w:pPr>
      <w:r>
        <w:t>Meta entrega el evento al webhook seguro de Laravel.</w:t>
      </w:r>
    </w:p>
    <w:p>
      <w:pPr>
        <w:pStyle w:val="ListNumber"/>
      </w:pPr>
      <w:r>
        <w:t>El sistema identifica al cliente por su teléfono; si no lo reconoce, solicita un dato alternativo según RF-12.</w:t>
      </w:r>
    </w:p>
    <w:p>
      <w:pPr>
        <w:pStyle w:val="ListNumber"/>
      </w:pPr>
      <w:r>
        <w:t>Se abre o reutiliza una conversación activa y se guarda el mensaje completo con fecha, tipo y emisor.</w:t>
      </w:r>
    </w:p>
    <w:p>
      <w:pPr>
        <w:pStyle w:val="ListNumber"/>
      </w:pPr>
      <w:r>
        <w:t>Un clasificador determina la intención: estado de cuenta, reclamo, pago u otra consulta. Comenzaremos con reglas controladas y luego se incorporará un proveedor de IA mediante una interfaz intercambiable.</w:t>
      </w:r>
    </w:p>
    <w:p>
      <w:pPr>
        <w:pStyle w:val="ListNumber"/>
      </w:pPr>
      <w:r>
        <w:t>Laravel consulta los módulos existentes o crea el ticket correspondiente y genera una respuesta clara.</w:t>
      </w:r>
    </w:p>
    <w:p>
      <w:pPr>
        <w:pStyle w:val="ListNumber"/>
      </w:pPr>
      <w:r>
        <w:t>Si no comprende dos veces o el cliente pide ayuda, la conversación pasa a modo empleado, conservando todo el historial.</w:t>
      </w:r>
    </w:p>
    <w:p>
      <w:pPr>
        <w:pStyle w:val="ListNumber"/>
      </w:pPr>
      <w:r>
        <w:t>La respuesta se envía por Cloud API y su estado de entrega se actualiza en la base de datos.</w:t>
      </w:r>
    </w:p>
    <w:p>
      <w:pPr>
        <w:pStyle w:val="Heading1"/>
        <w:spacing w:before="60" w:after="160"/>
      </w:pPr>
      <w:r>
        <w:t>3. Componentes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76B3A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73"/>
            <w:shd w:fill="176B3A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173"/>
            <w:shd w:fill="176B3A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3173"/>
          </w:tcPr>
          <w:p>
            <w:r>
              <w:t>Canal</w:t>
            </w:r>
          </w:p>
        </w:tc>
        <w:tc>
          <w:tcPr>
            <w:tcW w:type="dxa" w:w="3173"/>
          </w:tcPr>
          <w:p>
            <w:r>
              <w:t>WhatsApp Cloud API</w:t>
            </w:r>
          </w:p>
        </w:tc>
        <w:tc>
          <w:tcPr>
            <w:tcW w:type="dxa" w:w="3173"/>
          </w:tcPr>
          <w:p>
            <w:r>
              <w:t>Recibir y enviar mensajes oficiales mediante Meta.</w:t>
            </w:r>
          </w:p>
        </w:tc>
      </w:tr>
      <w:tr>
        <w:tc>
          <w:tcPr>
            <w:tcW w:type="dxa" w:w="3173"/>
          </w:tcPr>
          <w:p>
            <w:r>
              <w:t>Backend</w:t>
            </w:r>
          </w:p>
        </w:tc>
        <w:tc>
          <w:tcPr>
            <w:tcW w:type="dxa" w:w="3173"/>
          </w:tcPr>
          <w:p>
            <w:r>
              <w:t>Laravel 13 / PHP</w:t>
            </w:r>
          </w:p>
        </w:tc>
        <w:tc>
          <w:tcPr>
            <w:tcW w:type="dxa" w:w="3173"/>
          </w:tcPr>
          <w:p>
            <w:r>
              <w:t>Webhook, reglas, seguridad, respuestas y coordinación de módulos.</w:t>
            </w:r>
          </w:p>
        </w:tc>
      </w:tr>
      <w:tr>
        <w:tc>
          <w:tcPr>
            <w:tcW w:type="dxa" w:w="3173"/>
          </w:tcPr>
          <w:p>
            <w:r>
              <w:t>Persistencia</w:t>
            </w:r>
          </w:p>
        </w:tc>
        <w:tc>
          <w:tcPr>
            <w:tcW w:type="dxa" w:w="3173"/>
          </w:tcPr>
          <w:p>
            <w:r>
              <w:t>MariaDB 11.8 + Eloquent</w:t>
            </w:r>
          </w:p>
        </w:tc>
        <w:tc>
          <w:tcPr>
            <w:tcW w:type="dxa" w:w="3173"/>
          </w:tcPr>
          <w:p>
            <w:r>
              <w:t>Conversaciones, mensajes, clientes, cuotas y trazabilidad.</w:t>
            </w:r>
          </w:p>
        </w:tc>
      </w:tr>
      <w:tr>
        <w:tc>
          <w:tcPr>
            <w:tcW w:type="dxa" w:w="3173"/>
          </w:tcPr>
          <w:p>
            <w:r>
              <w:t>Procesamiento</w:t>
            </w:r>
          </w:p>
        </w:tc>
        <w:tc>
          <w:tcPr>
            <w:tcW w:type="dxa" w:w="3173"/>
          </w:tcPr>
          <w:p>
            <w:r>
              <w:t>Colas y Scheduler de Laravel</w:t>
            </w:r>
          </w:p>
        </w:tc>
        <w:tc>
          <w:tcPr>
            <w:tcW w:type="dxa" w:w="3173"/>
          </w:tcPr>
          <w:p>
            <w:r>
              <w:t>Trabajo asíncrono, reintentos y avisos programados.</w:t>
            </w:r>
          </w:p>
        </w:tc>
      </w:tr>
      <w:tr>
        <w:tc>
          <w:tcPr>
            <w:tcW w:type="dxa" w:w="3173"/>
          </w:tcPr>
          <w:p>
            <w:r>
              <w:t>Intención</w:t>
            </w:r>
          </w:p>
        </w:tc>
        <w:tc>
          <w:tcPr>
            <w:tcW w:type="dxa" w:w="3173"/>
          </w:tcPr>
          <w:p>
            <w:r>
              <w:t>Reglas + adaptador de LLM</w:t>
            </w:r>
          </w:p>
        </w:tc>
        <w:tc>
          <w:tcPr>
            <w:tcW w:type="dxa" w:w="3173"/>
          </w:tcPr>
          <w:p>
            <w:r>
              <w:t>Comprensión controlada; el proveedor podrá cambiarse sin alterar el dominio.</w:t>
            </w:r>
          </w:p>
        </w:tc>
      </w:tr>
      <w:tr>
        <w:tc>
          <w:tcPr>
            <w:tcW w:type="dxa" w:w="3173"/>
          </w:tcPr>
          <w:p>
            <w:r>
              <w:t>Comprobantes</w:t>
            </w:r>
          </w:p>
        </w:tc>
        <w:tc>
          <w:tcPr>
            <w:tcW w:type="dxa" w:w="3173"/>
          </w:tcPr>
          <w:p>
            <w:r>
              <w:t>Google Cloud Vision OCR</w:t>
            </w:r>
          </w:p>
        </w:tc>
        <w:tc>
          <w:tcPr>
            <w:tcW w:type="dxa" w:w="3173"/>
          </w:tcPr>
          <w:p>
            <w:r>
              <w:t>Extracción de texto de imágenes y PDF en el módulo de pagos.</w:t>
            </w:r>
          </w:p>
        </w:tc>
      </w:tr>
    </w:tbl>
    <w:p>
      <w:r>
        <w:br w:type="page"/>
      </w:r>
    </w:p>
    <w:p>
      <w:pPr>
        <w:pStyle w:val="Heading1"/>
        <w:spacing w:before="60" w:after="160"/>
      </w:pPr>
      <w:r>
        <w:t>4. Costos esperados</w:t>
      </w:r>
    </w:p>
    <w:p>
      <w:r>
        <w:t>WhatsApp Cloud API no se paga como una licencia mensual fija: Meta cobra por mensaje de plantilla entregado, según país y categoría. Los mensajes de servicio dentro de la ventana de atención de 24 horas iniciada por el cliente no tienen cargo; tampoco se cobran los mensajes de utilidad enviados como respuesta dentro de esa ventana.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76B3A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2379"/>
            <w:shd w:fill="176B3A"/>
          </w:tcPr>
          <w:p>
            <w:r>
              <w:rPr>
                <w:b/>
                <w:color w:val="FFFFFF"/>
              </w:rPr>
              <w:t>Desarrollo</w:t>
            </w:r>
          </w:p>
        </w:tc>
        <w:tc>
          <w:tcPr>
            <w:tcW w:type="dxa" w:w="2379"/>
            <w:shd w:fill="176B3A"/>
          </w:tcPr>
          <w:p>
            <w:r>
              <w:rPr>
                <w:b/>
                <w:color w:val="FFFFFF"/>
              </w:rPr>
              <w:t>Producción</w:t>
            </w:r>
          </w:p>
        </w:tc>
        <w:tc>
          <w:tcPr>
            <w:tcW w:type="dxa" w:w="2379"/>
            <w:shd w:fill="176B3A"/>
          </w:tcPr>
          <w:p>
            <w:r>
              <w:rPr>
                <w:b/>
                <w:color w:val="FFFFFF"/>
              </w:rPr>
              <w:t>Criterio</w:t>
            </w:r>
          </w:p>
        </w:tc>
      </w:tr>
      <w:tr>
        <w:tc>
          <w:tcPr>
            <w:tcW w:type="dxa" w:w="2379"/>
          </w:tcPr>
          <w:p>
            <w:r>
              <w:t>WhatsApp</w:t>
            </w:r>
          </w:p>
        </w:tc>
        <w:tc>
          <w:tcPr>
            <w:tcW w:type="dxa" w:w="2379"/>
          </w:tcPr>
          <w:p>
            <w:r>
              <w:t>Sin costo en esta primera parte</w:t>
            </w:r>
          </w:p>
        </w:tc>
        <w:tc>
          <w:tcPr>
            <w:tcW w:type="dxa" w:w="2379"/>
          </w:tcPr>
          <w:p>
            <w:r>
              <w:t>Variable por mensajes de plantilla entregados</w:t>
            </w:r>
          </w:p>
        </w:tc>
        <w:tc>
          <w:tcPr>
            <w:tcW w:type="dxa" w:w="2379"/>
          </w:tcPr>
          <w:p>
            <w:r>
              <w:t>Consultar la tarifa vigente de Argentina antes de publicar.</w:t>
            </w:r>
          </w:p>
        </w:tc>
      </w:tr>
      <w:tr>
        <w:tc>
          <w:tcPr>
            <w:tcW w:type="dxa" w:w="2379"/>
          </w:tcPr>
          <w:p>
            <w:r>
              <w:t>Servidor</w:t>
            </w:r>
          </w:p>
        </w:tc>
        <w:tc>
          <w:tcPr>
            <w:tcW w:type="dxa" w:w="2379"/>
          </w:tcPr>
          <w:p>
            <w:r>
              <w:t>PC local: USD 0</w:t>
            </w:r>
          </w:p>
        </w:tc>
        <w:tc>
          <w:tcPr>
            <w:tcW w:type="dxa" w:w="2379"/>
          </w:tcPr>
          <w:p>
            <w:r>
              <w:t>Estimación inicial: USD 5–15/mes</w:t>
            </w:r>
          </w:p>
        </w:tc>
        <w:tc>
          <w:tcPr>
            <w:tcW w:type="dxa" w:w="2379"/>
          </w:tcPr>
          <w:p>
            <w:r>
              <w:t>Depende del proveedor, memoria y disponibilidad.</w:t>
            </w:r>
          </w:p>
        </w:tc>
      </w:tr>
      <w:tr>
        <w:tc>
          <w:tcPr>
            <w:tcW w:type="dxa" w:w="2379"/>
          </w:tcPr>
          <w:p>
            <w:r>
              <w:t>IA externa</w:t>
            </w:r>
          </w:p>
        </w:tc>
        <w:tc>
          <w:tcPr>
            <w:tcW w:type="dxa" w:w="2379"/>
          </w:tcPr>
          <w:p>
            <w:r>
              <w:t>No utilizada inicialmente</w:t>
            </w:r>
          </w:p>
        </w:tc>
        <w:tc>
          <w:tcPr>
            <w:tcW w:type="dxa" w:w="2379"/>
          </w:tcPr>
          <w:p>
            <w:r>
              <w:t>Estimación controlada: USD 0–5/mes</w:t>
            </w:r>
          </w:p>
        </w:tc>
        <w:tc>
          <w:tcPr>
            <w:tcW w:type="dxa" w:w="2379"/>
          </w:tcPr>
          <w:p>
            <w:r>
              <w:t>Depende del modelo, cantidad y longitud de mensajes.</w:t>
            </w:r>
          </w:p>
        </w:tc>
      </w:tr>
      <w:tr>
        <w:tc>
          <w:tcPr>
            <w:tcW w:type="dxa" w:w="2379"/>
          </w:tcPr>
          <w:p>
            <w:r>
              <w:t>OCR</w:t>
            </w:r>
          </w:p>
        </w:tc>
        <w:tc>
          <w:tcPr>
            <w:tcW w:type="dxa" w:w="2379"/>
          </w:tcPr>
          <w:p>
            <w:r>
              <w:t>Puede postergarse</w:t>
            </w:r>
          </w:p>
        </w:tc>
        <w:tc>
          <w:tcPr>
            <w:tcW w:type="dxa" w:w="2379"/>
          </w:tcPr>
          <w:p>
            <w:r>
              <w:t>Primeras 1.000 unidades/mes sin costo; luego USD 1,50/1.000</w:t>
            </w:r>
          </w:p>
        </w:tc>
        <w:tc>
          <w:tcPr>
            <w:tcW w:type="dxa" w:w="2379"/>
          </w:tcPr>
          <w:p>
            <w:r>
              <w:t>Tarifa oficial de Text Detection de Google Cloud Vision.</w:t>
            </w:r>
          </w:p>
        </w:tc>
      </w:tr>
    </w:tbl>
    <w:p>
      <w:r>
        <w:rPr>
          <w:b/>
        </w:rPr>
        <w:t xml:space="preserve">Presupuesto orientativo del piloto: </w:t>
      </w:r>
      <w:r>
        <w:t>entre USD 5 y USD 20 mensuales más los mensajes de plantilla cobrados por Meta. Es una estimación de planificación, no una cotización: el costo final se calculará con el volumen real y la tarifa vigente de Argentina.</w:t>
      </w:r>
    </w:p>
    <w:p>
      <w:pPr>
        <w:pStyle w:val="Heading1"/>
        <w:spacing w:before="60" w:after="160"/>
      </w:pPr>
      <w:r>
        <w:t>5. Seguridad y reglas operativas</w:t>
      </w:r>
    </w:p>
    <w:p>
      <w:pPr>
        <w:pStyle w:val="ListBullet"/>
        <w:spacing w:after="60"/>
      </w:pPr>
      <w:r>
        <w:t>Solicitar consentimiento explícito antes de iniciar notificaciones por WhatsApp.</w:t>
      </w:r>
    </w:p>
    <w:p>
      <w:pPr>
        <w:pStyle w:val="ListBullet"/>
        <w:spacing w:after="60"/>
      </w:pPr>
      <w:r>
        <w:t>Usar plantillas aprobadas para comunicaciones iniciadas por la empresa fuera de la ventana de 24 horas.</w:t>
      </w:r>
    </w:p>
    <w:p>
      <w:pPr>
        <w:pStyle w:val="ListBullet"/>
        <w:spacing w:after="60"/>
      </w:pPr>
      <w:r>
        <w:t>Validar el webhook y conservar tokens, claves y secretos exclusivamente en variables de entorno.</w:t>
      </w:r>
    </w:p>
    <w:p>
      <w:pPr>
        <w:pStyle w:val="ListBullet"/>
        <w:spacing w:after="60"/>
      </w:pPr>
      <w:r>
        <w:t>Ofrecer siempre una vía clara de derivación a empleado o administrador.</w:t>
      </w:r>
    </w:p>
    <w:p>
      <w:pPr>
        <w:pStyle w:val="ListBullet"/>
        <w:spacing w:after="60"/>
      </w:pPr>
      <w:r>
        <w:t>Guardar el historial necesario con acceso restringido y documentar la política de privacidad.</w:t>
      </w:r>
    </w:p>
    <w:p>
      <w:pPr>
        <w:pStyle w:val="ListBullet"/>
        <w:spacing w:after="60"/>
      </w:pPr>
      <w:r>
        <w:t>Registrar identificadores externos para evitar procesar dos veces el mismo evento.</w:t>
      </w:r>
    </w:p>
    <w:p>
      <w:pPr>
        <w:pStyle w:val="Heading1"/>
        <w:spacing w:before="60" w:after="160"/>
      </w:pPr>
      <w:r>
        <w:t>6. Orden de implementación</w:t>
      </w:r>
    </w:p>
    <w:p>
      <w:pPr>
        <w:pStyle w:val="ListBullet"/>
        <w:spacing w:after="60"/>
      </w:pPr>
      <w:r>
        <w:t>Incremento 1 — Conversación y Mensaje: migraciones, modelos, relaciones, servicio de dominio y pruebas.</w:t>
      </w:r>
    </w:p>
    <w:p>
      <w:pPr>
        <w:pStyle w:val="ListBullet"/>
        <w:spacing w:after="60"/>
      </w:pPr>
      <w:r>
        <w:t>Incremento 2 — Webhook: verificación de Meta, recepción idempotente y adaptador de mensajes.</w:t>
      </w:r>
    </w:p>
    <w:p>
      <w:pPr>
        <w:pStyle w:val="ListBullet"/>
        <w:spacing w:after="60"/>
      </w:pPr>
      <w:r>
        <w:t>Incremento 3 — Identificación y respuestas: cliente por teléfono/DNI, cuenta corriente e intención.</w:t>
      </w:r>
    </w:p>
    <w:p>
      <w:pPr>
        <w:pStyle w:val="ListBullet"/>
        <w:spacing w:after="60"/>
      </w:pPr>
      <w:r>
        <w:t>Incremento 4 — Atención humana: escalado, bandeja, cierre y seguimiento de estados.</w:t>
      </w:r>
    </w:p>
    <w:p>
      <w:pPr>
        <w:pStyle w:val="ListBullet"/>
        <w:spacing w:after="60"/>
      </w:pPr>
      <w:r>
        <w:t>Incremento 5 — Notificaciones, OCR, pruebas integrales y documentación de operación.</w:t>
      </w:r>
    </w:p>
    <w:p>
      <w:pPr>
        <w:pStyle w:val="Heading1"/>
        <w:spacing w:before="60" w:after="160"/>
      </w:pPr>
      <w:r>
        <w:t>Fuentes oficiales consultadas</w:t>
      </w:r>
    </w:p>
    <w:p>
      <w:pPr>
        <w:pStyle w:val="ListBullet"/>
      </w:pPr>
      <w:hyperlink r:id="rId10">
        <w:r>
          <w:rPr>
            <w:color w:val="176B3A"/>
            <w:u w:val="single"/>
          </w:rPr>
          <w:t>Meta — WhatsApp Business Platform Pricing</w:t>
        </w:r>
      </w:hyperlink>
    </w:p>
    <w:p>
      <w:pPr>
        <w:pStyle w:val="ListBullet"/>
      </w:pPr>
      <w:hyperlink r:id="rId11">
        <w:r>
          <w:rPr>
            <w:color w:val="176B3A"/>
            <w:u w:val="single"/>
          </w:rPr>
          <w:t>WhatsApp — Política de mensajes de WhatsApp Business</w:t>
        </w:r>
      </w:hyperlink>
    </w:p>
    <w:p>
      <w:pPr>
        <w:pStyle w:val="ListBullet"/>
      </w:pPr>
      <w:hyperlink r:id="rId12">
        <w:r>
          <w:rPr>
            <w:color w:val="176B3A"/>
            <w:u w:val="single"/>
          </w:rPr>
          <w:t>Laravel 13 — HTTP Client</w:t>
        </w:r>
      </w:hyperlink>
    </w:p>
    <w:p>
      <w:pPr>
        <w:pStyle w:val="ListBullet"/>
      </w:pPr>
      <w:hyperlink r:id="rId13">
        <w:r>
          <w:rPr>
            <w:color w:val="176B3A"/>
            <w:u w:val="single"/>
          </w:rPr>
          <w:t>Google Cloud — Cloud Vision API Pricing</w:t>
        </w:r>
      </w:hyperlink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Villafañe Wifi · Seminario de Integración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B55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6B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hatsappbusiness.com/products/platform-pricing/" TargetMode="External"/><Relationship Id="rId11" Type="http://schemas.openxmlformats.org/officeDocument/2006/relationships/hyperlink" Target="https://business.whatsapp.com/policy/preview?lang=es_LA" TargetMode="External"/><Relationship Id="rId12" Type="http://schemas.openxmlformats.org/officeDocument/2006/relationships/hyperlink" Target="https://laravel.com/framework/docs/13.x/http-client" TargetMode="External"/><Relationship Id="rId13" Type="http://schemas.openxmlformats.org/officeDocument/2006/relationships/hyperlink" Target="https://cloud.google.com/vision/pricing?hl=es-4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